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466"/>
        <w:tblBorders>
          <w:top w:val="none" w:color="FFFFFF" w:sz="0"/>
          <w:left w:val="none" w:color="FFFFFF" w:sz="0"/>
          <w:bottom w:val="none" w:color="FFFFFF" w:sz="0"/>
          <w:right w:val="none" w:color="FFFFFF" w:sz="0"/>
          <w:insideH w:val="none" w:color="FFFFFF" w:sz="0"/>
          <w:insideV w:val="none" w:color="FFFFFF" w:sz="0"/>
        </w:tblBorders>
      </w:tblPr>
      <w:tblGrid>
        <w:gridCol w:w="1000"/>
        <w:gridCol w:w="5000"/>
        <w:gridCol w:w="4466"/>
      </w:tblGrid>
      <w:tr>
        <w:tc>
          <w:tcPr>
            <w:tcW w:type="dxa" w:w="1000"/>
            <w:tcBorders>
              <w:top w:val="none" w:color="FFFFFF" w:sz="0"/>
              <w:left w:val="none" w:color="FFFFFF" w:sz="0"/>
              <w:bottom w:val="none" w:color="FFFFFF" w:sz="0"/>
              <w:right w:val="none" w:color="FFFFFF" w:sz="0"/>
            </w:tcBorders>
            <w:shd w:fill="13201F" w:color="auto" w:val="clear"/>
            <w:tcMar>
              <w:top w:type="dxa" w:w="150"/>
              <w:left w:type="dxa" w:w="240"/>
              <w:bottom w:type="dxa" w:w="150"/>
              <w:right w:type="dxa" w:w="60"/>
            </w:tcMar>
            <w:vAlign w:val="center"/>
          </w:tcPr>
          <w:p>
            <w:pPr>
              <w:spacing w:after="0"/>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19100" cy="419100"/>
                          </a:xfrm>
                          <a:prstGeom prst="rect">
                            <a:avLst/>
                          </a:prstGeom>
                        </pic:spPr>
                      </pic:pic>
                    </a:graphicData>
                  </a:graphic>
                </wp:inline>
              </w:drawing>
            </w:r>
          </w:p>
        </w:tc>
        <w:tc>
          <w:tcPr>
            <w:tcW w:type="dxa" w:w="5000"/>
            <w:tcBorders>
              <w:top w:val="none" w:color="FFFFFF" w:sz="0"/>
              <w:left w:val="none" w:color="FFFFFF" w:sz="0"/>
              <w:bottom w:val="none" w:color="FFFFFF" w:sz="0"/>
              <w:right w:val="none" w:color="FFFFFF" w:sz="0"/>
            </w:tcBorders>
            <w:shd w:fill="13201F" w:color="auto" w:val="clear"/>
            <w:tcMar>
              <w:top w:type="dxa" w:w="180"/>
              <w:left w:type="dxa" w:w="60"/>
              <w:bottom w:type="dxa" w:w="180"/>
              <w:right w:type="dxa" w:w="160"/>
            </w:tcMar>
            <w:vAlign w:val="center"/>
          </w:tcPr>
          <w:p>
            <w:pPr>
              <w:spacing w:after="20" w:before="0" w:line="264"/>
            </w:pPr>
            <w:r>
              <w:rPr>
                <w:rFonts w:ascii="Arial" w:cs="Arial" w:eastAsia="Arial" w:hAnsi="Arial"/>
                <w:b/>
                <w:bCs/>
                <w:color w:val="FFFFFF"/>
                <w:spacing w:val="40"/>
                <w:sz w:val="26"/>
                <w:szCs w:val="26"/>
              </w:rPr>
              <w:t xml:space="preserve">NEW PANGEA</w:t>
            </w:r>
          </w:p>
          <w:p>
            <w:pPr>
              <w:spacing w:after="0" w:before="0" w:line="264"/>
            </w:pPr>
            <w:r>
              <w:rPr>
                <w:rFonts w:ascii="Arial" w:cs="Arial" w:eastAsia="Arial" w:hAnsi="Arial"/>
                <w:i/>
                <w:iCs/>
                <w:color w:val="C9D6D3"/>
                <w:sz w:val="16"/>
                <w:szCs w:val="16"/>
              </w:rPr>
              <w:t xml:space="preserve">Making extraordinary ordinary: habits that hold under pressure</w:t>
            </w:r>
          </w:p>
        </w:tc>
        <w:tc>
          <w:tcPr>
            <w:tcW w:type="dxa" w:w="4466"/>
            <w:tcBorders>
              <w:top w:val="none" w:color="FFFFFF" w:sz="0"/>
              <w:left w:val="none" w:color="FFFFFF" w:sz="0"/>
              <w:bottom w:val="none" w:color="FFFFFF" w:sz="0"/>
              <w:right w:val="none" w:color="FFFFFF" w:sz="0"/>
            </w:tcBorders>
            <w:shd w:fill="13201F" w:color="auto" w:val="clear"/>
            <w:tcMar>
              <w:top w:type="dxa" w:w="180"/>
              <w:left w:type="dxa" w:w="160"/>
              <w:bottom w:type="dxa" w:w="180"/>
              <w:right w:type="dxa" w:w="240"/>
            </w:tcMar>
            <w:vAlign w:val="center"/>
          </w:tcPr>
          <w:p>
            <w:pPr>
              <w:spacing w:after="20" w:before="0" w:line="264"/>
              <w:jc w:val="right"/>
            </w:pPr>
            <w:r>
              <w:rPr>
                <w:rFonts w:ascii="Arial" w:cs="Arial" w:eastAsia="Arial" w:hAnsi="Arial"/>
                <w:b/>
                <w:bCs/>
                <w:color w:val="FFFFFF"/>
                <w:spacing w:val="30"/>
                <w:sz w:val="22"/>
                <w:szCs w:val="22"/>
              </w:rPr>
              <w:t xml:space="preserve">ROB MURRAY</w:t>
            </w:r>
          </w:p>
          <w:p>
            <w:pPr>
              <w:spacing w:after="0" w:before="0" w:line="264"/>
              <w:jc w:val="right"/>
            </w:pPr>
            <w:r>
              <w:rPr>
                <w:rFonts w:ascii="Arial" w:cs="Arial" w:eastAsia="Arial" w:hAnsi="Arial"/>
                <w:color w:val="C9D6D3"/>
                <w:sz w:val="16"/>
                <w:szCs w:val="16"/>
              </w:rPr>
              <w:t xml:space="preserve">MSc Neuroscience  ·  Former police commander</w:t>
            </w:r>
          </w:p>
        </w:tc>
      </w:tr>
    </w:tbl>
    <w:p>
      <w:pPr>
        <w:spacing w:after="100" w:before="0" w:line="264"/>
      </w:pPr>
      <w:r>
        <w:rPr>
          <w:rFonts w:ascii="Arial" w:cs="Arial" w:eastAsia="Arial" w:hAnsi="Arial"/>
          <w:color w:val="2B2B2B"/>
          <w:sz w:val="4"/>
          <w:szCs w:val="4"/>
        </w:rPr>
        <w:t xml:space="preserve"/>
      </w:r>
    </w:p>
    <w:tbl>
      <w:tblPr>
        <w:tblW w:type="dxa" w:w="10466"/>
        <w:tblBorders>
          <w:top w:val="none" w:color="FFFFFF" w:sz="0"/>
          <w:left w:val="none" w:color="FFFFFF" w:sz="0"/>
          <w:bottom w:val="none" w:color="FFFFFF" w:sz="0"/>
          <w:right w:val="none" w:color="FFFFFF" w:sz="0"/>
          <w:insideH w:val="none" w:color="FFFFFF" w:sz="0"/>
          <w:insideV w:val="none" w:color="FFFFFF" w:sz="0"/>
        </w:tblBorders>
      </w:tblPr>
      <w:tblGrid>
        <w:gridCol w:w="10466"/>
      </w:tblGrid>
      <w:tr>
        <w:tc>
          <w:tcPr>
            <w:tcW w:type="dxa" w:w="10466"/>
            <w:tcBorders>
              <w:top w:val="none" w:color="FFFFFF" w:sz="0"/>
              <w:left w:val="single" w:color="B8864B" w:sz="18"/>
              <w:bottom w:val="none" w:color="FFFFFF" w:sz="0"/>
              <w:right w:val="none" w:color="FFFFFF" w:sz="0"/>
            </w:tcBorders>
            <w:shd w:fill="F3EFE7" w:color="auto" w:val="clear"/>
            <w:tcMar>
              <w:top w:type="dxa" w:w="170"/>
              <w:left w:type="dxa" w:w="240"/>
              <w:bottom w:type="dxa" w:w="170"/>
              <w:right w:type="dxa" w:w="160"/>
            </w:tcMar>
            <w:vAlign w:val="center"/>
          </w:tcPr>
          <w:p>
            <w:pPr>
              <w:spacing w:after="30" w:before="0" w:line="264"/>
            </w:pPr>
            <w:r>
              <w:rPr>
                <w:rFonts w:ascii="Arial" w:cs="Arial" w:eastAsia="Arial" w:hAnsi="Arial"/>
                <w:b/>
                <w:bCs/>
                <w:color w:val="13201F"/>
                <w:spacing w:val="20"/>
                <w:sz w:val="40"/>
                <w:szCs w:val="40"/>
              </w:rPr>
              <w:t xml:space="preserve">BOOKING TERMS</w:t>
            </w:r>
          </w:p>
          <w:p>
            <w:pPr>
              <w:spacing w:after="0" w:before="0" w:line="264"/>
            </w:pPr>
            <w:r>
              <w:rPr>
                <w:rFonts w:ascii="Arial" w:cs="Arial" w:eastAsia="Arial" w:hAnsi="Arial"/>
                <w:i/>
                <w:iCs/>
                <w:color w:val="2F6B64"/>
                <w:sz w:val="20"/>
                <w:szCs w:val="20"/>
              </w:rPr>
              <w:t xml:space="preserve">Terms and conditions for keynotes, workshops, simulations, programmes and coaching</w:t>
            </w:r>
          </w:p>
        </w:tc>
      </w:tr>
    </w:tbl>
    <w:p>
      <w:pPr>
        <w:spacing w:after="60" w:before="200" w:line="264"/>
      </w:pPr>
      <w:r>
        <w:rPr>
          <w:rFonts w:ascii="Arial" w:cs="Arial" w:eastAsia="Arial" w:hAnsi="Arial"/>
          <w:color w:val="2B2B2B"/>
          <w:sz w:val="19"/>
          <w:szCs w:val="19"/>
        </w:rPr>
        <w:t xml:space="preserve">These terms apply to every booking with New Pangea Ltd. </w:t>
      </w:r>
      <w:r>
        <w:rPr>
          <w:rFonts w:ascii="Arial" w:cs="Arial" w:eastAsia="Arial" w:hAnsi="Arial"/>
          <w:b/>
          <w:bCs/>
          <w:color w:val="13201F"/>
          <w:sz w:val="19"/>
          <w:szCs w:val="19"/>
        </w:rPr>
        <w:t xml:space="preserve">Part A</w:t>
      </w:r>
      <w:r>
        <w:rPr>
          <w:rFonts w:ascii="Arial" w:cs="Arial" w:eastAsia="Arial" w:hAnsi="Arial"/>
          <w:color w:val="2B2B2B"/>
          <w:sz w:val="19"/>
          <w:szCs w:val="19"/>
        </w:rPr>
        <w:t xml:space="preserve"> sets out the general terms. </w:t>
      </w:r>
      <w:r>
        <w:rPr>
          <w:rFonts w:ascii="Arial" w:cs="Arial" w:eastAsia="Arial" w:hAnsi="Arial"/>
          <w:b/>
          <w:bCs/>
          <w:color w:val="13201F"/>
          <w:sz w:val="19"/>
          <w:szCs w:val="19"/>
        </w:rPr>
        <w:t xml:space="preserve">Part B</w:t>
      </w:r>
      <w:r>
        <w:rPr>
          <w:rFonts w:ascii="Arial" w:cs="Arial" w:eastAsia="Arial" w:hAnsi="Arial"/>
          <w:color w:val="2B2B2B"/>
          <w:sz w:val="19"/>
          <w:szCs w:val="19"/>
        </w:rPr>
        <w:t xml:space="preserve"> sets out the payment dates, cancellation charges and specific points for each service. Each booking is confirmed by a booking confirmation, which names the service, dates and fees.</w:t>
      </w:r>
    </w:p>
    <w:p>
      <w:pPr>
        <w:keepNext/>
        <w:pBdr>
          <w:left w:val="single" w:color="B8864B" w:sz="36" w:space="8"/>
        </w:pBdr>
        <w:shd w:fill="2F6B64" w:color="auto" w:val="clear"/>
        <w:spacing w:after="140" w:before="300"/>
        <w:ind w:left="0"/>
      </w:pPr>
      <w:r>
        <w:rPr>
          <w:rFonts w:ascii="Arial" w:cs="Arial" w:eastAsia="Arial" w:hAnsi="Arial"/>
          <w:b/>
          <w:bCs/>
          <w:color w:val="FFFFFF"/>
          <w:spacing w:val="40"/>
          <w:sz w:val="24"/>
          <w:szCs w:val="24"/>
        </w:rPr>
        <w:t xml:space="preserve">PART A: GENERAL TERMS</w:t>
      </w:r>
    </w:p>
    <w:p>
      <w:pPr>
        <w:keepNext/>
        <w:pBdr>
          <w:bottom w:val="single" w:color="C9D6D3" w:sz="4" w:space="2"/>
        </w:pBdr>
        <w:spacing w:after="60" w:before="180"/>
      </w:pPr>
      <w:r>
        <w:rPr>
          <w:rFonts w:ascii="Arial" w:cs="Arial" w:eastAsia="Arial" w:hAnsi="Arial"/>
          <w:b/>
          <w:bCs/>
          <w:color w:val="13201F"/>
          <w:sz w:val="20"/>
          <w:szCs w:val="20"/>
        </w:rPr>
        <w:t xml:space="preserve">1. Parties</w:t>
      </w:r>
    </w:p>
    <w:p>
      <w:pPr>
        <w:spacing w:after="80" w:before="0" w:line="264"/>
      </w:pPr>
      <w:r>
        <w:rPr>
          <w:rFonts w:ascii="Arial" w:cs="Arial" w:eastAsia="Arial" w:hAnsi="Arial"/>
          <w:color w:val="2B2B2B"/>
          <w:sz w:val="18"/>
          <w:szCs w:val="18"/>
        </w:rPr>
        <w:t xml:space="preserve">These terms apply between New Pangea Ltd (registered in England and Wales, company no. 13975525, VAT no. 487798305) and the organisation named in the booking confirmation (the Client). Rob Murray delivers all services personally unless agreed otherwise in writing.</w:t>
      </w:r>
    </w:p>
    <w:p>
      <w:pPr>
        <w:keepNext/>
        <w:pBdr>
          <w:bottom w:val="single" w:color="C9D6D3" w:sz="4" w:space="2"/>
        </w:pBdr>
        <w:spacing w:after="60" w:before="180"/>
      </w:pPr>
      <w:r>
        <w:rPr>
          <w:rFonts w:ascii="Arial" w:cs="Arial" w:eastAsia="Arial" w:hAnsi="Arial"/>
          <w:b/>
          <w:bCs/>
          <w:color w:val="13201F"/>
          <w:sz w:val="20"/>
          <w:szCs w:val="20"/>
        </w:rPr>
        <w:t xml:space="preserve">2. Booking</w:t>
      </w:r>
    </w:p>
    <w:p>
      <w:pPr>
        <w:tabs>
          <w:tab w:val="left" w:pos="400"/>
        </w:tabs>
        <w:spacing w:after="60" w:line="264"/>
        <w:ind w:left="400" w:hanging="400"/>
      </w:pPr>
      <w:r>
        <w:rPr>
          <w:rFonts w:ascii="Arial" w:cs="Arial" w:eastAsia="Arial" w:hAnsi="Arial"/>
          <w:b/>
          <w:bCs/>
          <w:color w:val="2F6B64"/>
          <w:sz w:val="18"/>
          <w:szCs w:val="18"/>
        </w:rPr>
        <w:t xml:space="preserve">1.</w:t>
      </w:r>
      <w:r>
        <w:t xml:space="preserve">	</w:t>
      </w:r>
      <w:r>
        <w:rPr>
          <w:rFonts w:ascii="Arial" w:cs="Arial" w:eastAsia="Arial" w:hAnsi="Arial"/>
          <w:color w:val="2B2B2B"/>
          <w:sz w:val="18"/>
          <w:szCs w:val="18"/>
        </w:rPr>
        <w:t xml:space="preserve">A booking is confirmed when the Client signs or confirms the booking confirmation by email and pays the first invoice.</w:t>
      </w:r>
    </w:p>
    <w:p>
      <w:pPr>
        <w:tabs>
          <w:tab w:val="left" w:pos="400"/>
        </w:tabs>
        <w:spacing w:after="60" w:line="264"/>
        <w:ind w:left="400" w:hanging="400"/>
      </w:pPr>
      <w:r>
        <w:rPr>
          <w:rFonts w:ascii="Arial" w:cs="Arial" w:eastAsia="Arial" w:hAnsi="Arial"/>
          <w:b/>
          <w:bCs/>
          <w:color w:val="2F6B64"/>
          <w:sz w:val="18"/>
          <w:szCs w:val="18"/>
        </w:rPr>
        <w:t xml:space="preserve">2.</w:t>
      </w:r>
      <w:r>
        <w:t xml:space="preserve">	</w:t>
      </w:r>
      <w:r>
        <w:rPr>
          <w:rFonts w:ascii="Arial" w:cs="Arial" w:eastAsia="Arial" w:hAnsi="Arial"/>
          <w:color w:val="2B2B2B"/>
          <w:sz w:val="18"/>
          <w:szCs w:val="18"/>
        </w:rPr>
        <w:t xml:space="preserve">Dates are held provisionally for 14 days. After that, New Pangea may release the date if the booking is not confirmed.</w:t>
      </w:r>
    </w:p>
    <w:p>
      <w:pPr>
        <w:tabs>
          <w:tab w:val="left" w:pos="400"/>
        </w:tabs>
        <w:spacing w:after="60" w:line="264"/>
        <w:ind w:left="400" w:hanging="400"/>
      </w:pPr>
      <w:r>
        <w:rPr>
          <w:rFonts w:ascii="Arial" w:cs="Arial" w:eastAsia="Arial" w:hAnsi="Arial"/>
          <w:b/>
          <w:bCs/>
          <w:color w:val="2F6B64"/>
          <w:sz w:val="18"/>
          <w:szCs w:val="18"/>
        </w:rPr>
        <w:t xml:space="preserve">3.</w:t>
      </w:r>
      <w:r>
        <w:t xml:space="preserve">	</w:t>
      </w:r>
      <w:r>
        <w:rPr>
          <w:rFonts w:ascii="Arial" w:cs="Arial" w:eastAsia="Arial" w:hAnsi="Arial"/>
          <w:color w:val="2B2B2B"/>
          <w:sz w:val="18"/>
          <w:szCs w:val="18"/>
        </w:rPr>
        <w:t xml:space="preserve">These terms take precedence over any Client purchase order terms unless both parties agree otherwise in writing.</w:t>
      </w:r>
    </w:p>
    <w:p>
      <w:pPr>
        <w:keepNext/>
        <w:pBdr>
          <w:bottom w:val="single" w:color="C9D6D3" w:sz="4" w:space="2"/>
        </w:pBdr>
        <w:spacing w:after="60" w:before="180"/>
      </w:pPr>
      <w:r>
        <w:rPr>
          <w:rFonts w:ascii="Arial" w:cs="Arial" w:eastAsia="Arial" w:hAnsi="Arial"/>
          <w:b/>
          <w:bCs/>
          <w:color w:val="13201F"/>
          <w:sz w:val="20"/>
          <w:szCs w:val="20"/>
        </w:rPr>
        <w:t xml:space="preserve">3. Fees and VAT</w:t>
      </w:r>
    </w:p>
    <w:p>
      <w:pPr>
        <w:tabs>
          <w:tab w:val="left" w:pos="400"/>
        </w:tabs>
        <w:spacing w:after="60" w:line="264"/>
        <w:ind w:left="400" w:hanging="400"/>
      </w:pPr>
      <w:r>
        <w:rPr>
          <w:rFonts w:ascii="Arial" w:cs="Arial" w:eastAsia="Arial" w:hAnsi="Arial"/>
          <w:b/>
          <w:bCs/>
          <w:color w:val="2F6B64"/>
          <w:sz w:val="18"/>
          <w:szCs w:val="18"/>
        </w:rPr>
        <w:t xml:space="preserve">1.</w:t>
      </w:r>
      <w:r>
        <w:t xml:space="preserve">	</w:t>
      </w:r>
      <w:r>
        <w:rPr>
          <w:rFonts w:ascii="Arial" w:cs="Arial" w:eastAsia="Arial" w:hAnsi="Arial"/>
          <w:color w:val="2B2B2B"/>
          <w:sz w:val="18"/>
          <w:szCs w:val="18"/>
        </w:rPr>
        <w:t xml:space="preserve">Fees are as stated in the booking confirmation. VAT is added at the current rate.</w:t>
      </w:r>
    </w:p>
    <w:p>
      <w:pPr>
        <w:tabs>
          <w:tab w:val="left" w:pos="400"/>
        </w:tabs>
        <w:spacing w:after="60" w:line="264"/>
        <w:ind w:left="400" w:hanging="400"/>
      </w:pPr>
      <w:r>
        <w:rPr>
          <w:rFonts w:ascii="Arial" w:cs="Arial" w:eastAsia="Arial" w:hAnsi="Arial"/>
          <w:b/>
          <w:bCs/>
          <w:color w:val="2F6B64"/>
          <w:sz w:val="18"/>
          <w:szCs w:val="18"/>
        </w:rPr>
        <w:t xml:space="preserve">2.</w:t>
      </w:r>
      <w:r>
        <w:t xml:space="preserve">	</w:t>
      </w:r>
      <w:r>
        <w:rPr>
          <w:rFonts w:ascii="Arial" w:cs="Arial" w:eastAsia="Arial" w:hAnsi="Arial"/>
          <w:color w:val="2B2B2B"/>
          <w:sz w:val="18"/>
          <w:szCs w:val="18"/>
        </w:rPr>
        <w:t xml:space="preserve">Fees cover preparation, delivery and the materials listed for that service. Customisation beyond that, extra sessions or extra delegates are quoted separately.</w:t>
      </w:r>
    </w:p>
    <w:p>
      <w:pPr>
        <w:keepNext/>
        <w:pBdr>
          <w:bottom w:val="single" w:color="C9D6D3" w:sz="4" w:space="2"/>
        </w:pBdr>
        <w:spacing w:after="60" w:before="180"/>
      </w:pPr>
      <w:r>
        <w:rPr>
          <w:rFonts w:ascii="Arial" w:cs="Arial" w:eastAsia="Arial" w:hAnsi="Arial"/>
          <w:b/>
          <w:bCs/>
          <w:color w:val="13201F"/>
          <w:sz w:val="20"/>
          <w:szCs w:val="20"/>
        </w:rPr>
        <w:t xml:space="preserve">4. Invoicing and payment</w:t>
      </w:r>
    </w:p>
    <w:p>
      <w:pPr>
        <w:tabs>
          <w:tab w:val="left" w:pos="400"/>
        </w:tabs>
        <w:spacing w:after="60" w:line="264"/>
        <w:ind w:left="400" w:hanging="400"/>
      </w:pPr>
      <w:r>
        <w:rPr>
          <w:rFonts w:ascii="Arial" w:cs="Arial" w:eastAsia="Arial" w:hAnsi="Arial"/>
          <w:b/>
          <w:bCs/>
          <w:color w:val="2F6B64"/>
          <w:sz w:val="18"/>
          <w:szCs w:val="18"/>
        </w:rPr>
        <w:t xml:space="preserve">1.</w:t>
      </w:r>
      <w:r>
        <w:t xml:space="preserve">	</w:t>
      </w:r>
      <w:r>
        <w:rPr>
          <w:rFonts w:ascii="Arial" w:cs="Arial" w:eastAsia="Arial" w:hAnsi="Arial"/>
          <w:color w:val="2B2B2B"/>
          <w:sz w:val="18"/>
          <w:szCs w:val="18"/>
        </w:rPr>
        <w:t xml:space="preserve">Invoices are raised on the dates in the relevant service schedule (Part B).</w:t>
      </w:r>
    </w:p>
    <w:p>
      <w:pPr>
        <w:tabs>
          <w:tab w:val="left" w:pos="400"/>
        </w:tabs>
        <w:spacing w:after="60" w:line="264"/>
        <w:ind w:left="400" w:hanging="400"/>
      </w:pPr>
      <w:r>
        <w:rPr>
          <w:rFonts w:ascii="Arial" w:cs="Arial" w:eastAsia="Arial" w:hAnsi="Arial"/>
          <w:b/>
          <w:bCs/>
          <w:color w:val="2F6B64"/>
          <w:sz w:val="18"/>
          <w:szCs w:val="18"/>
        </w:rPr>
        <w:t xml:space="preserve">2.</w:t>
      </w:r>
      <w:r>
        <w:t xml:space="preserve">	</w:t>
      </w:r>
      <w:r>
        <w:rPr>
          <w:rFonts w:ascii="Arial" w:cs="Arial" w:eastAsia="Arial" w:hAnsi="Arial"/>
          <w:color w:val="2B2B2B"/>
          <w:sz w:val="18"/>
          <w:szCs w:val="18"/>
        </w:rPr>
        <w:t xml:space="preserve">Payment is due within 30 days of invoice, unless the schedule says otherwise.</w:t>
      </w:r>
    </w:p>
    <w:p>
      <w:pPr>
        <w:tabs>
          <w:tab w:val="left" w:pos="400"/>
        </w:tabs>
        <w:spacing w:after="60" w:line="264"/>
        <w:ind w:left="400" w:hanging="400"/>
      </w:pPr>
      <w:r>
        <w:rPr>
          <w:rFonts w:ascii="Arial" w:cs="Arial" w:eastAsia="Arial" w:hAnsi="Arial"/>
          <w:b/>
          <w:bCs/>
          <w:color w:val="2F6B64"/>
          <w:sz w:val="18"/>
          <w:szCs w:val="18"/>
        </w:rPr>
        <w:t xml:space="preserve">3.</w:t>
      </w:r>
      <w:r>
        <w:t xml:space="preserve">	</w:t>
      </w:r>
      <w:r>
        <w:rPr>
          <w:rFonts w:ascii="Arial" w:cs="Arial" w:eastAsia="Arial" w:hAnsi="Arial"/>
          <w:color w:val="2B2B2B"/>
          <w:sz w:val="18"/>
          <w:szCs w:val="18"/>
        </w:rPr>
        <w:t xml:space="preserve">Where the Client needs a purchase order number, it must provide one at booking. A delayed PO does not delay the payment date.</w:t>
      </w:r>
    </w:p>
    <w:p>
      <w:pPr>
        <w:tabs>
          <w:tab w:val="left" w:pos="400"/>
        </w:tabs>
        <w:spacing w:after="60" w:line="264"/>
        <w:ind w:left="400" w:hanging="400"/>
      </w:pPr>
      <w:r>
        <w:rPr>
          <w:rFonts w:ascii="Arial" w:cs="Arial" w:eastAsia="Arial" w:hAnsi="Arial"/>
          <w:b/>
          <w:bCs/>
          <w:color w:val="2F6B64"/>
          <w:sz w:val="18"/>
          <w:szCs w:val="18"/>
        </w:rPr>
        <w:t xml:space="preserve">4.</w:t>
      </w:r>
      <w:r>
        <w:t xml:space="preserve">	</w:t>
      </w:r>
      <w:r>
        <w:rPr>
          <w:rFonts w:ascii="Arial" w:cs="Arial" w:eastAsia="Arial" w:hAnsi="Arial"/>
          <w:color w:val="2B2B2B"/>
          <w:sz w:val="18"/>
          <w:szCs w:val="18"/>
        </w:rPr>
        <w:t xml:space="preserve">Payment is by bank transfer to the account shown on the invoice.</w:t>
      </w:r>
    </w:p>
    <w:p>
      <w:pPr>
        <w:keepNext/>
        <w:pBdr>
          <w:bottom w:val="single" w:color="C9D6D3" w:sz="4" w:space="2"/>
        </w:pBdr>
        <w:spacing w:after="60" w:before="180"/>
      </w:pPr>
      <w:r>
        <w:rPr>
          <w:rFonts w:ascii="Arial" w:cs="Arial" w:eastAsia="Arial" w:hAnsi="Arial"/>
          <w:b/>
          <w:bCs/>
          <w:color w:val="13201F"/>
          <w:sz w:val="20"/>
          <w:szCs w:val="20"/>
        </w:rPr>
        <w:t xml:space="preserve">5. Late payment</w:t>
      </w:r>
    </w:p>
    <w:p>
      <w:pPr>
        <w:spacing w:after="80" w:before="0" w:line="264"/>
      </w:pPr>
      <w:r>
        <w:rPr>
          <w:rFonts w:ascii="Arial" w:cs="Arial" w:eastAsia="Arial" w:hAnsi="Arial"/>
          <w:color w:val="2B2B2B"/>
          <w:sz w:val="18"/>
          <w:szCs w:val="18"/>
        </w:rPr>
        <w:t xml:space="preserve">New Pangea may charge statutory interest and compensation under the Late Payment of Commercial Debts (Interest) Act 1998. That is currently 8% a year above the Bank of England base rate, plus a fixed sum of £40, £70 or £100 depending on the invoice size. New Pangea may also pause delivery while an invoice is more than 14 days overdue.</w:t>
      </w:r>
    </w:p>
    <w:p>
      <w:pPr>
        <w:keepNext/>
        <w:pBdr>
          <w:bottom w:val="single" w:color="C9D6D3" w:sz="4" w:space="2"/>
        </w:pBdr>
        <w:spacing w:after="60" w:before="180"/>
      </w:pPr>
      <w:r>
        <w:rPr>
          <w:rFonts w:ascii="Arial" w:cs="Arial" w:eastAsia="Arial" w:hAnsi="Arial"/>
          <w:b/>
          <w:bCs/>
          <w:color w:val="13201F"/>
          <w:sz w:val="20"/>
          <w:szCs w:val="20"/>
        </w:rPr>
        <w:t xml:space="preserve">6. Expenses</w:t>
      </w:r>
    </w:p>
    <w:p>
      <w:pPr>
        <w:tabs>
          <w:tab w:val="left" w:pos="400"/>
        </w:tabs>
        <w:spacing w:after="60" w:line="264"/>
        <w:ind w:left="400" w:hanging="400"/>
      </w:pPr>
      <w:r>
        <w:rPr>
          <w:rFonts w:ascii="Arial" w:cs="Arial" w:eastAsia="Arial" w:hAnsi="Arial"/>
          <w:b/>
          <w:bCs/>
          <w:color w:val="2F6B64"/>
          <w:sz w:val="18"/>
          <w:szCs w:val="18"/>
        </w:rPr>
        <w:t xml:space="preserve">1.</w:t>
      </w:r>
      <w:r>
        <w:t xml:space="preserve">	</w:t>
      </w:r>
      <w:r>
        <w:rPr>
          <w:rFonts w:ascii="Arial" w:cs="Arial" w:eastAsia="Arial" w:hAnsi="Arial"/>
          <w:color w:val="2B2B2B"/>
          <w:sz w:val="18"/>
          <w:szCs w:val="18"/>
        </w:rPr>
        <w:t xml:space="preserve">Travel within 50 miles of RG7 is included.</w:t>
      </w:r>
    </w:p>
    <w:p>
      <w:pPr>
        <w:tabs>
          <w:tab w:val="left" w:pos="400"/>
        </w:tabs>
        <w:spacing w:after="60" w:line="264"/>
        <w:ind w:left="400" w:hanging="400"/>
      </w:pPr>
      <w:r>
        <w:rPr>
          <w:rFonts w:ascii="Arial" w:cs="Arial" w:eastAsia="Arial" w:hAnsi="Arial"/>
          <w:b/>
          <w:bCs/>
          <w:color w:val="2F6B64"/>
          <w:sz w:val="18"/>
          <w:szCs w:val="18"/>
        </w:rPr>
        <w:t xml:space="preserve">2.</w:t>
      </w:r>
      <w:r>
        <w:t xml:space="preserve">	</w:t>
      </w:r>
      <w:r>
        <w:rPr>
          <w:rFonts w:ascii="Arial" w:cs="Arial" w:eastAsia="Arial" w:hAnsi="Arial"/>
          <w:color w:val="2B2B2B"/>
          <w:sz w:val="18"/>
          <w:szCs w:val="18"/>
        </w:rPr>
        <w:t xml:space="preserve">Beyond that, travel is charged at 45p per mile or standard-class rail, plus parking.</w:t>
      </w:r>
    </w:p>
    <w:p>
      <w:pPr>
        <w:tabs>
          <w:tab w:val="left" w:pos="400"/>
        </w:tabs>
        <w:spacing w:after="60" w:line="264"/>
        <w:ind w:left="400" w:hanging="400"/>
      </w:pPr>
      <w:r>
        <w:rPr>
          <w:rFonts w:ascii="Arial" w:cs="Arial" w:eastAsia="Arial" w:hAnsi="Arial"/>
          <w:b/>
          <w:bCs/>
          <w:color w:val="2F6B64"/>
          <w:sz w:val="18"/>
          <w:szCs w:val="18"/>
        </w:rPr>
        <w:t xml:space="preserve">3.</w:t>
      </w:r>
      <w:r>
        <w:t xml:space="preserve">	</w:t>
      </w:r>
      <w:r>
        <w:rPr>
          <w:rFonts w:ascii="Arial" w:cs="Arial" w:eastAsia="Arial" w:hAnsi="Arial"/>
          <w:color w:val="2B2B2B"/>
          <w:sz w:val="18"/>
          <w:szCs w:val="18"/>
        </w:rPr>
        <w:t xml:space="preserve">Overnight accommodation is charged at cost where the venue is more than 2 hours away or the session starts before 9am.</w:t>
      </w:r>
    </w:p>
    <w:p>
      <w:pPr>
        <w:tabs>
          <w:tab w:val="left" w:pos="400"/>
        </w:tabs>
        <w:spacing w:after="60" w:line="264"/>
        <w:ind w:left="400" w:hanging="400"/>
      </w:pPr>
      <w:r>
        <w:rPr>
          <w:rFonts w:ascii="Arial" w:cs="Arial" w:eastAsia="Arial" w:hAnsi="Arial"/>
          <w:b/>
          <w:bCs/>
          <w:color w:val="2F6B64"/>
          <w:sz w:val="18"/>
          <w:szCs w:val="18"/>
        </w:rPr>
        <w:t xml:space="preserve">4.</w:t>
      </w:r>
      <w:r>
        <w:t xml:space="preserve">	</w:t>
      </w:r>
      <w:r>
        <w:rPr>
          <w:rFonts w:ascii="Arial" w:cs="Arial" w:eastAsia="Arial" w:hAnsi="Arial"/>
          <w:color w:val="2B2B2B"/>
          <w:sz w:val="18"/>
          <w:szCs w:val="18"/>
        </w:rPr>
        <w:t xml:space="preserve">Expenses are invoiced after delivery with receipts on request. Venue, catering, AV and delegate costs are the Client's responsibility unless agreed otherwise.</w:t>
      </w:r>
    </w:p>
    <w:p>
      <w:pPr>
        <w:keepNext/>
        <w:pBdr>
          <w:bottom w:val="single" w:color="C9D6D3" w:sz="4" w:space="2"/>
        </w:pBdr>
        <w:spacing w:after="60" w:before="180"/>
      </w:pPr>
      <w:r>
        <w:rPr>
          <w:rFonts w:ascii="Arial" w:cs="Arial" w:eastAsia="Arial" w:hAnsi="Arial"/>
          <w:b/>
          <w:bCs/>
          <w:color w:val="13201F"/>
          <w:sz w:val="20"/>
          <w:szCs w:val="20"/>
        </w:rPr>
        <w:t xml:space="preserve">7. Changes and rescheduling</w:t>
      </w:r>
    </w:p>
    <w:p>
      <w:pPr>
        <w:tabs>
          <w:tab w:val="left" w:pos="400"/>
        </w:tabs>
        <w:spacing w:after="60" w:line="264"/>
        <w:ind w:left="400" w:hanging="400"/>
      </w:pPr>
      <w:r>
        <w:rPr>
          <w:rFonts w:ascii="Arial" w:cs="Arial" w:eastAsia="Arial" w:hAnsi="Arial"/>
          <w:b/>
          <w:bCs/>
          <w:color w:val="2F6B64"/>
          <w:sz w:val="18"/>
          <w:szCs w:val="18"/>
        </w:rPr>
        <w:t xml:space="preserve">1.</w:t>
      </w:r>
      <w:r>
        <w:t xml:space="preserve">	</w:t>
      </w:r>
      <w:r>
        <w:rPr>
          <w:rFonts w:ascii="Arial" w:cs="Arial" w:eastAsia="Arial" w:hAnsi="Arial"/>
          <w:color w:val="2B2B2B"/>
          <w:sz w:val="18"/>
          <w:szCs w:val="18"/>
        </w:rPr>
        <w:t xml:space="preserve">The Client may move a confirmed date once without charge if it gives at least 60 days' notice and the new date falls within 6 months.</w:t>
      </w:r>
    </w:p>
    <w:p>
      <w:pPr>
        <w:tabs>
          <w:tab w:val="left" w:pos="400"/>
        </w:tabs>
        <w:spacing w:after="60" w:line="264"/>
        <w:ind w:left="400" w:hanging="400"/>
      </w:pPr>
      <w:r>
        <w:rPr>
          <w:rFonts w:ascii="Arial" w:cs="Arial" w:eastAsia="Arial" w:hAnsi="Arial"/>
          <w:b/>
          <w:bCs/>
          <w:color w:val="2F6B64"/>
          <w:sz w:val="18"/>
          <w:szCs w:val="18"/>
        </w:rPr>
        <w:t xml:space="preserve">2.</w:t>
      </w:r>
      <w:r>
        <w:t xml:space="preserve">	</w:t>
      </w:r>
      <w:r>
        <w:rPr>
          <w:rFonts w:ascii="Arial" w:cs="Arial" w:eastAsia="Arial" w:hAnsi="Arial"/>
          <w:color w:val="2B2B2B"/>
          <w:sz w:val="18"/>
          <w:szCs w:val="18"/>
        </w:rPr>
        <w:t xml:space="preserve">Later moves are treated as a cancellation and a new booking, although New Pangea will try to find a fair solution first.</w:t>
      </w:r>
    </w:p>
    <w:p>
      <w:pPr>
        <w:tabs>
          <w:tab w:val="left" w:pos="400"/>
        </w:tabs>
        <w:spacing w:after="60" w:line="264"/>
        <w:ind w:left="400" w:hanging="400"/>
      </w:pPr>
      <w:r>
        <w:rPr>
          <w:rFonts w:ascii="Arial" w:cs="Arial" w:eastAsia="Arial" w:hAnsi="Arial"/>
          <w:b/>
          <w:bCs/>
          <w:color w:val="2F6B64"/>
          <w:sz w:val="18"/>
          <w:szCs w:val="18"/>
        </w:rPr>
        <w:t xml:space="preserve">3.</w:t>
      </w:r>
      <w:r>
        <w:t xml:space="preserve">	</w:t>
      </w:r>
      <w:r>
        <w:rPr>
          <w:rFonts w:ascii="Arial" w:cs="Arial" w:eastAsia="Arial" w:hAnsi="Arial"/>
          <w:color w:val="2B2B2B"/>
          <w:sz w:val="18"/>
          <w:szCs w:val="18"/>
        </w:rPr>
        <w:t xml:space="preserve">Non-refundable costs already incurred, such as travel tickets or venue hire, are payable in any case.</w:t>
      </w:r>
    </w:p>
    <w:p>
      <w:pPr>
        <w:keepNext/>
        <w:pBdr>
          <w:bottom w:val="single" w:color="C9D6D3" w:sz="4" w:space="2"/>
        </w:pBdr>
        <w:spacing w:after="60" w:before="180"/>
      </w:pPr>
      <w:r>
        <w:rPr>
          <w:rFonts w:ascii="Arial" w:cs="Arial" w:eastAsia="Arial" w:hAnsi="Arial"/>
          <w:b/>
          <w:bCs/>
          <w:color w:val="13201F"/>
          <w:sz w:val="20"/>
          <w:szCs w:val="20"/>
        </w:rPr>
        <w:t xml:space="preserve">8. Cancellation by the Client</w:t>
      </w:r>
    </w:p>
    <w:p>
      <w:pPr>
        <w:spacing w:after="80" w:before="0" w:line="264"/>
      </w:pPr>
      <w:r>
        <w:rPr>
          <w:rFonts w:ascii="Arial" w:cs="Arial" w:eastAsia="Arial" w:hAnsi="Arial"/>
          <w:color w:val="2B2B2B"/>
          <w:sz w:val="18"/>
          <w:szCs w:val="18"/>
        </w:rPr>
        <w:t xml:space="preserve">Cancellation must be in writing. Fees due on cancellation are set out in each service schedule. Sums already paid count towards them, and any balance becomes payable immediately.</w:t>
      </w:r>
    </w:p>
    <w:p>
      <w:pPr>
        <w:keepNext/>
        <w:pBdr>
          <w:bottom w:val="single" w:color="C9D6D3" w:sz="4" w:space="2"/>
        </w:pBdr>
        <w:spacing w:after="60" w:before="180"/>
      </w:pPr>
      <w:r>
        <w:rPr>
          <w:rFonts w:ascii="Arial" w:cs="Arial" w:eastAsia="Arial" w:hAnsi="Arial"/>
          <w:b/>
          <w:bCs/>
          <w:color w:val="13201F"/>
          <w:sz w:val="20"/>
          <w:szCs w:val="20"/>
        </w:rPr>
        <w:t xml:space="preserve">9. Cancellation by New Pangea</w:t>
      </w:r>
    </w:p>
    <w:p>
      <w:pPr>
        <w:spacing w:after="80" w:before="0" w:line="264"/>
      </w:pPr>
      <w:r>
        <w:rPr>
          <w:rFonts w:ascii="Arial" w:cs="Arial" w:eastAsia="Arial" w:hAnsi="Arial"/>
          <w:color w:val="2B2B2B"/>
          <w:sz w:val="18"/>
          <w:szCs w:val="18"/>
        </w:rPr>
        <w:t xml:space="preserve">If Rob is unable to deliver because of illness, injury or bereavement, New Pangea will offer a new date first. If none suits, it will refund fees paid for the undelivered part. New Pangea is not liable for any other cost or loss arising from the cancellation.</w:t>
      </w:r>
    </w:p>
    <w:p>
      <w:pPr>
        <w:keepNext/>
        <w:pBdr>
          <w:bottom w:val="single" w:color="C9D6D3" w:sz="4" w:space="2"/>
        </w:pBdr>
        <w:spacing w:after="60" w:before="180"/>
      </w:pPr>
      <w:r>
        <w:rPr>
          <w:rFonts w:ascii="Arial" w:cs="Arial" w:eastAsia="Arial" w:hAnsi="Arial"/>
          <w:b/>
          <w:bCs/>
          <w:color w:val="13201F"/>
          <w:sz w:val="20"/>
          <w:szCs w:val="20"/>
        </w:rPr>
        <w:t xml:space="preserve">10. Events outside either party's control</w:t>
      </w:r>
    </w:p>
    <w:p>
      <w:pPr>
        <w:spacing w:after="80" w:before="0" w:line="264"/>
      </w:pPr>
      <w:r>
        <w:rPr>
          <w:rFonts w:ascii="Arial" w:cs="Arial" w:eastAsia="Arial" w:hAnsi="Arial"/>
          <w:color w:val="2B2B2B"/>
          <w:sz w:val="18"/>
          <w:szCs w:val="18"/>
        </w:rPr>
        <w:t xml:space="preserve">Neither party is liable for failure caused by events genuinely outside its control, such as severe weather, transport failure, pandemic restrictions or venue closure. The parties will first try to reschedule or move online. If that is not possible within 6 months, fees paid for undelivered work are refunded, less non-refundable costs already incurred.</w:t>
      </w:r>
    </w:p>
    <w:p>
      <w:pPr>
        <w:keepNext/>
        <w:pBdr>
          <w:bottom w:val="single" w:color="C9D6D3" w:sz="4" w:space="2"/>
        </w:pBdr>
        <w:spacing w:after="60" w:before="180"/>
      </w:pPr>
      <w:r>
        <w:rPr>
          <w:rFonts w:ascii="Arial" w:cs="Arial" w:eastAsia="Arial" w:hAnsi="Arial"/>
          <w:b/>
          <w:bCs/>
          <w:color w:val="13201F"/>
          <w:sz w:val="20"/>
          <w:szCs w:val="20"/>
        </w:rPr>
        <w:t xml:space="preserve">11. Intellectual property and materials</w:t>
      </w:r>
    </w:p>
    <w:p>
      <w:pPr>
        <w:tabs>
          <w:tab w:val="left" w:pos="400"/>
        </w:tabs>
        <w:spacing w:after="60" w:line="264"/>
        <w:ind w:left="400" w:hanging="400"/>
      </w:pPr>
      <w:r>
        <w:rPr>
          <w:rFonts w:ascii="Arial" w:cs="Arial" w:eastAsia="Arial" w:hAnsi="Arial"/>
          <w:b/>
          <w:bCs/>
          <w:color w:val="2F6B64"/>
          <w:sz w:val="18"/>
          <w:szCs w:val="18"/>
        </w:rPr>
        <w:t xml:space="preserve">1.</w:t>
      </w:r>
      <w:r>
        <w:t xml:space="preserve">	</w:t>
      </w:r>
      <w:r>
        <w:rPr>
          <w:rFonts w:ascii="Arial" w:cs="Arial" w:eastAsia="Arial" w:hAnsi="Arial"/>
          <w:color w:val="2B2B2B"/>
          <w:sz w:val="18"/>
          <w:szCs w:val="18"/>
        </w:rPr>
        <w:t xml:space="preserve">New Pangea owns all content, frameworks, slides, workbooks and simulation scenarios, including anything customised for the Client.</w:t>
      </w:r>
    </w:p>
    <w:p>
      <w:pPr>
        <w:tabs>
          <w:tab w:val="left" w:pos="400"/>
        </w:tabs>
        <w:spacing w:after="60" w:line="264"/>
        <w:ind w:left="400" w:hanging="400"/>
      </w:pPr>
      <w:r>
        <w:rPr>
          <w:rFonts w:ascii="Arial" w:cs="Arial" w:eastAsia="Arial" w:hAnsi="Arial"/>
          <w:b/>
          <w:bCs/>
          <w:color w:val="2F6B64"/>
          <w:sz w:val="18"/>
          <w:szCs w:val="18"/>
        </w:rPr>
        <w:t xml:space="preserve">2.</w:t>
      </w:r>
      <w:r>
        <w:t xml:space="preserve">	</w:t>
      </w:r>
      <w:r>
        <w:rPr>
          <w:rFonts w:ascii="Arial" w:cs="Arial" w:eastAsia="Arial" w:hAnsi="Arial"/>
          <w:color w:val="2B2B2B"/>
          <w:sz w:val="18"/>
          <w:szCs w:val="18"/>
        </w:rPr>
        <w:t xml:space="preserve">The Client may use materials internally for delegates who attended. It may not copy, adapt, resell or deliver them without written consent.</w:t>
      </w:r>
    </w:p>
    <w:p>
      <w:pPr>
        <w:tabs>
          <w:tab w:val="left" w:pos="400"/>
        </w:tabs>
        <w:spacing w:after="60" w:line="264"/>
        <w:ind w:left="400" w:hanging="400"/>
      </w:pPr>
      <w:r>
        <w:rPr>
          <w:rFonts w:ascii="Arial" w:cs="Arial" w:eastAsia="Arial" w:hAnsi="Arial"/>
          <w:b/>
          <w:bCs/>
          <w:color w:val="2F6B64"/>
          <w:sz w:val="18"/>
          <w:szCs w:val="18"/>
        </w:rPr>
        <w:t xml:space="preserve">3.</w:t>
      </w:r>
      <w:r>
        <w:t xml:space="preserve">	</w:t>
      </w:r>
      <w:r>
        <w:rPr>
          <w:rFonts w:ascii="Arial" w:cs="Arial" w:eastAsia="Arial" w:hAnsi="Arial"/>
          <w:color w:val="2B2B2B"/>
          <w:sz w:val="18"/>
          <w:szCs w:val="18"/>
        </w:rPr>
        <w:t xml:space="preserve">Reports written for the Client belong to the Client once paid for. The underlying methods remain New Pangea's.</w:t>
      </w:r>
    </w:p>
    <w:p>
      <w:pPr>
        <w:keepNext/>
        <w:pBdr>
          <w:bottom w:val="single" w:color="C9D6D3" w:sz="4" w:space="2"/>
        </w:pBdr>
        <w:spacing w:after="60" w:before="180"/>
      </w:pPr>
      <w:r>
        <w:rPr>
          <w:rFonts w:ascii="Arial" w:cs="Arial" w:eastAsia="Arial" w:hAnsi="Arial"/>
          <w:b/>
          <w:bCs/>
          <w:color w:val="13201F"/>
          <w:sz w:val="20"/>
          <w:szCs w:val="20"/>
        </w:rPr>
        <w:t xml:space="preserve">12. Filming, recording and testimonials</w:t>
      </w:r>
    </w:p>
    <w:p>
      <w:pPr>
        <w:tabs>
          <w:tab w:val="left" w:pos="400"/>
        </w:tabs>
        <w:spacing w:after="60" w:line="264"/>
        <w:ind w:left="400" w:hanging="400"/>
      </w:pPr>
      <w:r>
        <w:rPr>
          <w:rFonts w:ascii="Arial" w:cs="Arial" w:eastAsia="Arial" w:hAnsi="Arial"/>
          <w:b/>
          <w:bCs/>
          <w:color w:val="2F6B64"/>
          <w:sz w:val="18"/>
          <w:szCs w:val="18"/>
        </w:rPr>
        <w:t xml:space="preserve">1.</w:t>
      </w:r>
      <w:r>
        <w:t xml:space="preserve">	</w:t>
      </w:r>
      <w:r>
        <w:rPr>
          <w:rFonts w:ascii="Arial" w:cs="Arial" w:eastAsia="Arial" w:hAnsi="Arial"/>
          <w:color w:val="2B2B2B"/>
          <w:sz w:val="18"/>
          <w:szCs w:val="18"/>
        </w:rPr>
        <w:t xml:space="preserve">The Client may not record, film or stream a session without prior written consent.</w:t>
      </w:r>
    </w:p>
    <w:p>
      <w:pPr>
        <w:tabs>
          <w:tab w:val="left" w:pos="400"/>
        </w:tabs>
        <w:spacing w:after="60" w:line="264"/>
        <w:ind w:left="400" w:hanging="400"/>
      </w:pPr>
      <w:r>
        <w:rPr>
          <w:rFonts w:ascii="Arial" w:cs="Arial" w:eastAsia="Arial" w:hAnsi="Arial"/>
          <w:b/>
          <w:bCs/>
          <w:color w:val="2F6B64"/>
          <w:sz w:val="18"/>
          <w:szCs w:val="18"/>
        </w:rPr>
        <w:t xml:space="preserve">2.</w:t>
      </w:r>
      <w:r>
        <w:t xml:space="preserve">	</w:t>
      </w:r>
      <w:r>
        <w:rPr>
          <w:rFonts w:ascii="Arial" w:cs="Arial" w:eastAsia="Arial" w:hAnsi="Arial"/>
          <w:color w:val="2B2B2B"/>
          <w:sz w:val="18"/>
          <w:szCs w:val="18"/>
        </w:rPr>
        <w:t xml:space="preserve">Where consent is given, New Pangea may use short clips and photos for its own marketing, and the Client will share footage it takes on request.</w:t>
      </w:r>
    </w:p>
    <w:p>
      <w:pPr>
        <w:tabs>
          <w:tab w:val="left" w:pos="400"/>
        </w:tabs>
        <w:spacing w:after="60" w:line="264"/>
        <w:ind w:left="400" w:hanging="400"/>
      </w:pPr>
      <w:r>
        <w:rPr>
          <w:rFonts w:ascii="Arial" w:cs="Arial" w:eastAsia="Arial" w:hAnsi="Arial"/>
          <w:b/>
          <w:bCs/>
          <w:color w:val="2F6B64"/>
          <w:sz w:val="18"/>
          <w:szCs w:val="18"/>
        </w:rPr>
        <w:t xml:space="preserve">3.</w:t>
      </w:r>
      <w:r>
        <w:t xml:space="preserve">	</w:t>
      </w:r>
      <w:r>
        <w:rPr>
          <w:rFonts w:ascii="Arial" w:cs="Arial" w:eastAsia="Arial" w:hAnsi="Arial"/>
          <w:color w:val="2B2B2B"/>
          <w:sz w:val="18"/>
          <w:szCs w:val="18"/>
        </w:rPr>
        <w:t xml:space="preserve">New Pangea may name the Client as a client. It will only quote an individual or use a testimonial with that person's approval.</w:t>
      </w:r>
    </w:p>
    <w:p>
      <w:pPr>
        <w:keepNext/>
        <w:pBdr>
          <w:bottom w:val="single" w:color="C9D6D3" w:sz="4" w:space="2"/>
        </w:pBdr>
        <w:spacing w:after="60" w:before="180"/>
      </w:pPr>
      <w:r>
        <w:rPr>
          <w:rFonts w:ascii="Arial" w:cs="Arial" w:eastAsia="Arial" w:hAnsi="Arial"/>
          <w:b/>
          <w:bCs/>
          <w:color w:val="13201F"/>
          <w:sz w:val="20"/>
          <w:szCs w:val="20"/>
        </w:rPr>
        <w:t xml:space="preserve">13. Confidentiality</w:t>
      </w:r>
    </w:p>
    <w:p>
      <w:pPr>
        <w:spacing w:after="80" w:before="0" w:line="264"/>
      </w:pPr>
      <w:r>
        <w:rPr>
          <w:rFonts w:ascii="Arial" w:cs="Arial" w:eastAsia="Arial" w:hAnsi="Arial"/>
          <w:color w:val="2B2B2B"/>
          <w:sz w:val="18"/>
          <w:szCs w:val="18"/>
        </w:rPr>
        <w:t xml:space="preserve">Each party keeps the other's confidential information confidential and uses it only for the booking. Anything delegates share in coaching or sessions stays confidential. Individual coaching content is not reported to the Client unless the delegate agrees, although attendance and themes across the group may be.</w:t>
      </w:r>
    </w:p>
    <w:p>
      <w:pPr>
        <w:keepNext/>
        <w:pBdr>
          <w:bottom w:val="single" w:color="C9D6D3" w:sz="4" w:space="2"/>
        </w:pBdr>
        <w:spacing w:after="60" w:before="180"/>
      </w:pPr>
      <w:r>
        <w:rPr>
          <w:rFonts w:ascii="Arial" w:cs="Arial" w:eastAsia="Arial" w:hAnsi="Arial"/>
          <w:b/>
          <w:bCs/>
          <w:color w:val="13201F"/>
          <w:sz w:val="20"/>
          <w:szCs w:val="20"/>
        </w:rPr>
        <w:t xml:space="preserve">14. Data protection</w:t>
      </w:r>
    </w:p>
    <w:p>
      <w:pPr>
        <w:spacing w:after="80" w:before="0" w:line="264"/>
      </w:pPr>
      <w:r>
        <w:rPr>
          <w:rFonts w:ascii="Arial" w:cs="Arial" w:eastAsia="Arial" w:hAnsi="Arial"/>
          <w:color w:val="2B2B2B"/>
          <w:sz w:val="18"/>
          <w:szCs w:val="18"/>
        </w:rPr>
        <w:t xml:space="preserve">Each party complies with UK data protection law. Where New Pangea processes delegates' personal data for the Client, such as names, feedback or survey responses, it does so only to deliver the service, keeps it secure and deletes it within 12 months of the programme ending. A separate data processing agreement can be signed if the Client needs one.</w:t>
      </w:r>
    </w:p>
    <w:p>
      <w:pPr>
        <w:keepNext/>
        <w:pBdr>
          <w:bottom w:val="single" w:color="C9D6D3" w:sz="4" w:space="2"/>
        </w:pBdr>
        <w:spacing w:after="60" w:before="180"/>
      </w:pPr>
      <w:r>
        <w:rPr>
          <w:rFonts w:ascii="Arial" w:cs="Arial" w:eastAsia="Arial" w:hAnsi="Arial"/>
          <w:b/>
          <w:bCs/>
          <w:color w:val="13201F"/>
          <w:sz w:val="20"/>
          <w:szCs w:val="20"/>
        </w:rPr>
        <w:t xml:space="preserve">15. Liability</w:t>
      </w:r>
    </w:p>
    <w:p>
      <w:pPr>
        <w:tabs>
          <w:tab w:val="left" w:pos="400"/>
        </w:tabs>
        <w:spacing w:after="60" w:line="264"/>
        <w:ind w:left="400" w:hanging="400"/>
      </w:pPr>
      <w:r>
        <w:rPr>
          <w:rFonts w:ascii="Arial" w:cs="Arial" w:eastAsia="Arial" w:hAnsi="Arial"/>
          <w:b/>
          <w:bCs/>
          <w:color w:val="2F6B64"/>
          <w:sz w:val="18"/>
          <w:szCs w:val="18"/>
        </w:rPr>
        <w:t xml:space="preserve">1.</w:t>
      </w:r>
      <w:r>
        <w:t xml:space="preserve">	</w:t>
      </w:r>
      <w:r>
        <w:rPr>
          <w:rFonts w:ascii="Arial" w:cs="Arial" w:eastAsia="Arial" w:hAnsi="Arial"/>
          <w:color w:val="2B2B2B"/>
          <w:sz w:val="18"/>
          <w:szCs w:val="18"/>
        </w:rPr>
        <w:t xml:space="preserve">New Pangea's total liability for any booking is limited to the fees paid for that booking.</w:t>
      </w:r>
    </w:p>
    <w:p>
      <w:pPr>
        <w:tabs>
          <w:tab w:val="left" w:pos="400"/>
        </w:tabs>
        <w:spacing w:after="60" w:line="264"/>
        <w:ind w:left="400" w:hanging="400"/>
      </w:pPr>
      <w:r>
        <w:rPr>
          <w:rFonts w:ascii="Arial" w:cs="Arial" w:eastAsia="Arial" w:hAnsi="Arial"/>
          <w:b/>
          <w:bCs/>
          <w:color w:val="2F6B64"/>
          <w:sz w:val="18"/>
          <w:szCs w:val="18"/>
        </w:rPr>
        <w:t xml:space="preserve">2.</w:t>
      </w:r>
      <w:r>
        <w:t xml:space="preserve">	</w:t>
      </w:r>
      <w:r>
        <w:rPr>
          <w:rFonts w:ascii="Arial" w:cs="Arial" w:eastAsia="Arial" w:hAnsi="Arial"/>
          <w:color w:val="2B2B2B"/>
          <w:sz w:val="18"/>
          <w:szCs w:val="18"/>
        </w:rPr>
        <w:t xml:space="preserve">Neither party is liable for indirect or consequential loss, including lost profit.</w:t>
      </w:r>
    </w:p>
    <w:p>
      <w:pPr>
        <w:tabs>
          <w:tab w:val="left" w:pos="400"/>
        </w:tabs>
        <w:spacing w:after="60" w:line="264"/>
        <w:ind w:left="400" w:hanging="400"/>
      </w:pPr>
      <w:r>
        <w:rPr>
          <w:rFonts w:ascii="Arial" w:cs="Arial" w:eastAsia="Arial" w:hAnsi="Arial"/>
          <w:b/>
          <w:bCs/>
          <w:color w:val="2F6B64"/>
          <w:sz w:val="18"/>
          <w:szCs w:val="18"/>
        </w:rPr>
        <w:t xml:space="preserve">3.</w:t>
      </w:r>
      <w:r>
        <w:t xml:space="preserve">	</w:t>
      </w:r>
      <w:r>
        <w:rPr>
          <w:rFonts w:ascii="Arial" w:cs="Arial" w:eastAsia="Arial" w:hAnsi="Arial"/>
          <w:color w:val="2B2B2B"/>
          <w:sz w:val="18"/>
          <w:szCs w:val="18"/>
        </w:rPr>
        <w:t xml:space="preserve">Nothing limits liability for death or personal injury caused by negligence, or for fraud.</w:t>
      </w:r>
    </w:p>
    <w:p>
      <w:pPr>
        <w:tabs>
          <w:tab w:val="left" w:pos="400"/>
        </w:tabs>
        <w:spacing w:after="60" w:line="264"/>
        <w:ind w:left="400" w:hanging="400"/>
      </w:pPr>
      <w:r>
        <w:rPr>
          <w:rFonts w:ascii="Arial" w:cs="Arial" w:eastAsia="Arial" w:hAnsi="Arial"/>
          <w:b/>
          <w:bCs/>
          <w:color w:val="2F6B64"/>
          <w:sz w:val="18"/>
          <w:szCs w:val="18"/>
        </w:rPr>
        <w:t xml:space="preserve">4.</w:t>
      </w:r>
      <w:r>
        <w:t xml:space="preserve">	</w:t>
      </w:r>
      <w:r>
        <w:rPr>
          <w:rFonts w:ascii="Arial" w:cs="Arial" w:eastAsia="Arial" w:hAnsi="Arial"/>
          <w:color w:val="2B2B2B"/>
          <w:sz w:val="18"/>
          <w:szCs w:val="18"/>
        </w:rPr>
        <w:t xml:space="preserve">New Pangea holds professional indemnity and public liability insurance.</w:t>
      </w:r>
    </w:p>
    <w:p>
      <w:pPr>
        <w:tabs>
          <w:tab w:val="left" w:pos="400"/>
        </w:tabs>
        <w:spacing w:after="60" w:line="264"/>
        <w:ind w:left="400" w:hanging="400"/>
      </w:pPr>
      <w:r>
        <w:rPr>
          <w:rFonts w:ascii="Arial" w:cs="Arial" w:eastAsia="Arial" w:hAnsi="Arial"/>
          <w:b/>
          <w:bCs/>
          <w:color w:val="2F6B64"/>
          <w:sz w:val="18"/>
          <w:szCs w:val="18"/>
        </w:rPr>
        <w:t xml:space="preserve">5.</w:t>
      </w:r>
      <w:r>
        <w:t xml:space="preserve">	</w:t>
      </w:r>
      <w:r>
        <w:rPr>
          <w:rFonts w:ascii="Arial" w:cs="Arial" w:eastAsia="Arial" w:hAnsi="Arial"/>
          <w:color w:val="2B2B2B"/>
          <w:sz w:val="18"/>
          <w:szCs w:val="18"/>
        </w:rPr>
        <w:t xml:space="preserve">Sessions are educational. They are not medical, psychological or legal advice.</w:t>
      </w:r>
    </w:p>
    <w:p>
      <w:pPr>
        <w:keepNext/>
        <w:pBdr>
          <w:bottom w:val="single" w:color="C9D6D3" w:sz="4" w:space="2"/>
        </w:pBdr>
        <w:spacing w:after="60" w:before="180"/>
      </w:pPr>
      <w:r>
        <w:rPr>
          <w:rFonts w:ascii="Arial" w:cs="Arial" w:eastAsia="Arial" w:hAnsi="Arial"/>
          <w:b/>
          <w:bCs/>
          <w:color w:val="13201F"/>
          <w:sz w:val="20"/>
          <w:szCs w:val="20"/>
        </w:rPr>
        <w:t xml:space="preserve">16. General</w:t>
      </w:r>
    </w:p>
    <w:p>
      <w:pPr>
        <w:spacing w:after="80" w:before="0" w:line="264"/>
      </w:pPr>
      <w:r>
        <w:rPr>
          <w:rFonts w:ascii="Arial" w:cs="Arial" w:eastAsia="Arial" w:hAnsi="Arial"/>
          <w:color w:val="2B2B2B"/>
          <w:sz w:val="18"/>
          <w:szCs w:val="18"/>
        </w:rPr>
        <w:t xml:space="preserve">These terms and the booking confirmation are the whole agreement for that booking. Changes must be in writing. English law applies and the courts of England and Wales have jurisdiction.</w:t>
      </w:r>
    </w:p>
    <w:p>
      <w:pPr>
        <w:keepNext/>
        <w:pageBreakBefore/>
        <w:pBdr>
          <w:left w:val="single" w:color="B8864B" w:sz="36" w:space="8"/>
        </w:pBdr>
        <w:shd w:fill="2F6B64" w:color="auto" w:val="clear"/>
        <w:spacing w:after="140" w:before="300"/>
        <w:ind w:left="0"/>
      </w:pPr>
      <w:r>
        <w:rPr>
          <w:rFonts w:ascii="Arial" w:cs="Arial" w:eastAsia="Arial" w:hAnsi="Arial"/>
          <w:b/>
          <w:bCs/>
          <w:color w:val="FFFFFF"/>
          <w:spacing w:val="40"/>
          <w:sz w:val="24"/>
          <w:szCs w:val="24"/>
        </w:rPr>
        <w:t xml:space="preserve">PART B: SERVICE SCHEDULES</w:t>
      </w:r>
    </w:p>
    <w:p>
      <w:pPr>
        <w:spacing w:after="80" w:before="0" w:line="264"/>
      </w:pPr>
      <w:r>
        <w:rPr>
          <w:rFonts w:ascii="Arial" w:cs="Arial" w:eastAsia="Arial" w:hAnsi="Arial"/>
          <w:color w:val="2B2B2B"/>
          <w:sz w:val="18"/>
          <w:szCs w:val="18"/>
        </w:rPr>
        <w:t xml:space="preserve">Every service is invoiced in two halves: 50% on booking to secure the date, and 50% at the midpoint or on delivery. The table shows when the second invoice is raised and what is payable if the Client cancels. Notice periods run from the first delivery date.</w:t>
      </w:r>
    </w:p>
    <w:tbl>
      <w:tblPr>
        <w:tblW w:type="dxa" w:w="10466"/>
        <w:tblBorders>
          <w:top w:val="none" w:color="FFFFFF" w:sz="0"/>
          <w:left w:val="none" w:color="FFFFFF" w:sz="0"/>
          <w:bottom w:val="single" w:color="D9D2C3" w:sz="4"/>
          <w:right w:val="none" w:color="FFFFFF" w:sz="0"/>
          <w:insideH w:val="single" w:color="D9D2C3" w:sz="4"/>
          <w:insideV w:val="none" w:color="FFFFFF" w:sz="0"/>
        </w:tblBorders>
      </w:tblPr>
      <w:tblGrid>
        <w:gridCol w:w="2050"/>
        <w:gridCol w:w="1500"/>
        <w:gridCol w:w="1750"/>
        <w:gridCol w:w="1850"/>
        <w:gridCol w:w="1300"/>
        <w:gridCol w:w="2016"/>
      </w:tblGrid>
      <w:tr>
        <w:trPr>
          <w:cantSplit/>
          <w:tblHeader/>
        </w:trPr>
        <w:tc>
          <w:tcPr>
            <w:tcW w:type="dxa" w:w="2050"/>
            <w:tcBorders>
              <w:top w:val="none" w:color="FFFFFF" w:sz="0"/>
              <w:left w:val="none" w:color="FFFFFF" w:sz="0"/>
              <w:bottom w:val="single" w:color="D9D2C3" w:sz="4"/>
              <w:right w:val="none" w:color="FFFFFF" w:sz="0"/>
            </w:tcBorders>
            <w:shd w:fill="13201F" w:color="auto" w:val="clear"/>
            <w:tcMar>
              <w:top w:type="dxa" w:w="80"/>
              <w:left w:type="dxa" w:w="100"/>
              <w:bottom w:type="dxa" w:w="80"/>
              <w:right w:type="dxa" w:w="100"/>
            </w:tcMar>
            <w:vAlign w:val="center"/>
          </w:tcPr>
          <w:p>
            <w:pPr>
              <w:spacing w:after="0" w:before="0" w:line="264"/>
            </w:pPr>
            <w:r>
              <w:rPr>
                <w:rFonts w:ascii="Arial" w:cs="Arial" w:eastAsia="Arial" w:hAnsi="Arial"/>
                <w:b/>
                <w:bCs/>
                <w:color w:val="FFFFFF"/>
                <w:sz w:val="16"/>
                <w:szCs w:val="16"/>
              </w:rPr>
              <w:t xml:space="preserve">Service</w:t>
            </w:r>
          </w:p>
        </w:tc>
        <w:tc>
          <w:tcPr>
            <w:tcW w:type="dxa" w:w="1500"/>
            <w:tcBorders>
              <w:top w:val="none" w:color="FFFFFF" w:sz="0"/>
              <w:left w:val="none" w:color="FFFFFF" w:sz="0"/>
              <w:bottom w:val="single" w:color="D9D2C3" w:sz="4"/>
              <w:right w:val="none" w:color="FFFFFF" w:sz="0"/>
            </w:tcBorders>
            <w:shd w:fill="13201F" w:color="auto" w:val="clear"/>
            <w:tcMar>
              <w:top w:type="dxa" w:w="80"/>
              <w:left w:type="dxa" w:w="100"/>
              <w:bottom w:type="dxa" w:w="80"/>
              <w:right w:type="dxa" w:w="100"/>
            </w:tcMar>
            <w:vAlign w:val="center"/>
          </w:tcPr>
          <w:p>
            <w:pPr>
              <w:spacing w:after="0" w:before="0" w:line="264"/>
            </w:pPr>
            <w:r>
              <w:rPr>
                <w:rFonts w:ascii="Arial" w:cs="Arial" w:eastAsia="Arial" w:hAnsi="Arial"/>
                <w:b/>
                <w:bCs/>
                <w:color w:val="FFFFFF"/>
                <w:sz w:val="16"/>
                <w:szCs w:val="16"/>
              </w:rPr>
              <w:t xml:space="preserve">First invoice</w:t>
            </w:r>
          </w:p>
        </w:tc>
        <w:tc>
          <w:tcPr>
            <w:tcW w:type="dxa" w:w="1750"/>
            <w:tcBorders>
              <w:top w:val="none" w:color="FFFFFF" w:sz="0"/>
              <w:left w:val="none" w:color="FFFFFF" w:sz="0"/>
              <w:bottom w:val="single" w:color="D9D2C3" w:sz="4"/>
              <w:right w:val="none" w:color="FFFFFF" w:sz="0"/>
            </w:tcBorders>
            <w:shd w:fill="13201F" w:color="auto" w:val="clear"/>
            <w:tcMar>
              <w:top w:type="dxa" w:w="80"/>
              <w:left w:type="dxa" w:w="100"/>
              <w:bottom w:type="dxa" w:w="80"/>
              <w:right w:type="dxa" w:w="100"/>
            </w:tcMar>
            <w:vAlign w:val="center"/>
          </w:tcPr>
          <w:p>
            <w:pPr>
              <w:spacing w:after="0" w:before="0" w:line="264"/>
            </w:pPr>
            <w:r>
              <w:rPr>
                <w:rFonts w:ascii="Arial" w:cs="Arial" w:eastAsia="Arial" w:hAnsi="Arial"/>
                <w:b/>
                <w:bCs/>
                <w:color w:val="FFFFFF"/>
                <w:sz w:val="16"/>
                <w:szCs w:val="16"/>
              </w:rPr>
              <w:t xml:space="preserve">Second invoice</w:t>
            </w:r>
          </w:p>
        </w:tc>
        <w:tc>
          <w:tcPr>
            <w:tcW w:type="dxa" w:w="1850"/>
            <w:tcBorders>
              <w:top w:val="none" w:color="FFFFFF" w:sz="0"/>
              <w:left w:val="none" w:color="FFFFFF" w:sz="0"/>
              <w:bottom w:val="single" w:color="D9D2C3" w:sz="4"/>
              <w:right w:val="none" w:color="FFFFFF" w:sz="0"/>
            </w:tcBorders>
            <w:shd w:fill="13201F" w:color="auto" w:val="clear"/>
            <w:tcMar>
              <w:top w:type="dxa" w:w="80"/>
              <w:left w:type="dxa" w:w="100"/>
              <w:bottom w:type="dxa" w:w="80"/>
              <w:right w:type="dxa" w:w="100"/>
            </w:tcMar>
            <w:vAlign w:val="center"/>
          </w:tcPr>
          <w:p>
            <w:pPr>
              <w:spacing w:after="0" w:before="0" w:line="264"/>
            </w:pPr>
            <w:r>
              <w:rPr>
                <w:rFonts w:ascii="Arial" w:cs="Arial" w:eastAsia="Arial" w:hAnsi="Arial"/>
                <w:b/>
                <w:bCs/>
                <w:color w:val="FFFFFF"/>
                <w:sz w:val="16"/>
                <w:szCs w:val="16"/>
              </w:rPr>
              <w:t xml:space="preserve">Cancel 90+ days out</w:t>
            </w:r>
          </w:p>
        </w:tc>
        <w:tc>
          <w:tcPr>
            <w:tcW w:type="dxa" w:w="1300"/>
            <w:tcBorders>
              <w:top w:val="none" w:color="FFFFFF" w:sz="0"/>
              <w:left w:val="none" w:color="FFFFFF" w:sz="0"/>
              <w:bottom w:val="single" w:color="D9D2C3" w:sz="4"/>
              <w:right w:val="none" w:color="FFFFFF" w:sz="0"/>
            </w:tcBorders>
            <w:shd w:fill="13201F" w:color="auto" w:val="clear"/>
            <w:tcMar>
              <w:top w:type="dxa" w:w="80"/>
              <w:left w:type="dxa" w:w="100"/>
              <w:bottom w:type="dxa" w:w="80"/>
              <w:right w:type="dxa" w:w="100"/>
            </w:tcMar>
            <w:vAlign w:val="center"/>
          </w:tcPr>
          <w:p>
            <w:pPr>
              <w:spacing w:after="0" w:before="0" w:line="264"/>
            </w:pPr>
            <w:r>
              <w:rPr>
                <w:rFonts w:ascii="Arial" w:cs="Arial" w:eastAsia="Arial" w:hAnsi="Arial"/>
                <w:b/>
                <w:bCs/>
                <w:color w:val="FFFFFF"/>
                <w:sz w:val="16"/>
                <w:szCs w:val="16"/>
              </w:rPr>
              <w:t xml:space="preserve">30–89 days</w:t>
            </w:r>
          </w:p>
        </w:tc>
        <w:tc>
          <w:tcPr>
            <w:tcW w:type="dxa" w:w="2016"/>
            <w:tcBorders>
              <w:top w:val="none" w:color="FFFFFF" w:sz="0"/>
              <w:left w:val="none" w:color="FFFFFF" w:sz="0"/>
              <w:bottom w:val="single" w:color="D9D2C3" w:sz="4"/>
              <w:right w:val="none" w:color="FFFFFF" w:sz="0"/>
            </w:tcBorders>
            <w:shd w:fill="13201F" w:color="auto" w:val="clear"/>
            <w:tcMar>
              <w:top w:type="dxa" w:w="80"/>
              <w:left w:type="dxa" w:w="100"/>
              <w:bottom w:type="dxa" w:w="80"/>
              <w:right w:type="dxa" w:w="100"/>
            </w:tcMar>
            <w:vAlign w:val="center"/>
          </w:tcPr>
          <w:p>
            <w:pPr>
              <w:spacing w:after="0" w:before="0" w:line="264"/>
            </w:pPr>
            <w:r>
              <w:rPr>
                <w:rFonts w:ascii="Arial" w:cs="Arial" w:eastAsia="Arial" w:hAnsi="Arial"/>
                <w:b/>
                <w:bCs/>
                <w:color w:val="FFFFFF"/>
                <w:sz w:val="16"/>
                <w:szCs w:val="16"/>
              </w:rPr>
              <w:t xml:space="preserve">Under 30 days</w:t>
            </w:r>
          </w:p>
        </w:tc>
      </w:tr>
      <w:tr>
        <w:trPr>
          <w:cantSplit/>
          <w:tblHeader w:val="false"/>
        </w:trPr>
        <w:tc>
          <w:tcPr>
            <w:tcW w:type="dxa" w:w="2050"/>
            <w:tcBorders>
              <w:top w:val="none" w:color="FFFFFF" w:sz="0"/>
              <w:left w:val="none" w:color="FFFFFF" w:sz="0"/>
              <w:bottom w:val="single" w:color="D9D2C3" w:sz="4"/>
              <w:right w:val="none" w:color="FFFFFF" w:sz="0"/>
            </w:tcBorders>
            <w:shd w:fill="F3EFE7" w:color="auto" w:val="clear"/>
            <w:tcMar>
              <w:top w:type="dxa" w:w="80"/>
              <w:left w:type="dxa" w:w="100"/>
              <w:bottom w:type="dxa" w:w="80"/>
              <w:right w:type="dxa" w:w="100"/>
            </w:tcMar>
            <w:vAlign w:val="center"/>
          </w:tcPr>
          <w:p>
            <w:pPr>
              <w:spacing w:after="0" w:before="0" w:line="264"/>
            </w:pPr>
            <w:r>
              <w:rPr>
                <w:rFonts w:ascii="Arial" w:cs="Arial" w:eastAsia="Arial" w:hAnsi="Arial"/>
                <w:b/>
                <w:bCs/>
                <w:color w:val="13201F"/>
                <w:sz w:val="16"/>
                <w:szCs w:val="16"/>
              </w:rPr>
              <w:t xml:space="preserve">Keynote</w:t>
            </w:r>
          </w:p>
        </w:tc>
        <w:tc>
          <w:tcPr>
            <w:tcW w:type="dxa" w:w="1500"/>
            <w:tcBorders>
              <w:top w:val="none" w:color="FFFFFF" w:sz="0"/>
              <w:left w:val="none" w:color="FFFFFF" w:sz="0"/>
              <w:bottom w:val="single" w:color="D9D2C3" w:sz="4"/>
              <w:right w:val="none" w:color="FFFFFF" w:sz="0"/>
            </w:tcBorders>
            <w:shd w:fill="F3EFE7" w:color="auto" w:val="clear"/>
            <w:tcMar>
              <w:top w:type="dxa" w:w="80"/>
              <w:left w:type="dxa" w:w="100"/>
              <w:bottom w:type="dxa" w:w="80"/>
              <w:right w:type="dxa" w:w="100"/>
            </w:tcMar>
            <w:vAlign w:val="center"/>
          </w:tcPr>
          <w:p>
            <w:pPr>
              <w:spacing w:after="0" w:before="0" w:line="264"/>
            </w:pPr>
            <w:r>
              <w:rPr>
                <w:rFonts w:ascii="Arial" w:cs="Arial" w:eastAsia="Arial" w:hAnsi="Arial"/>
                <w:b w:val="false"/>
                <w:bCs w:val="false"/>
                <w:color w:val="2B2B2B"/>
                <w:sz w:val="16"/>
                <w:szCs w:val="16"/>
              </w:rPr>
              <w:t xml:space="preserve">50% on booking</w:t>
            </w:r>
          </w:p>
        </w:tc>
        <w:tc>
          <w:tcPr>
            <w:tcW w:type="dxa" w:w="1750"/>
            <w:tcBorders>
              <w:top w:val="none" w:color="FFFFFF" w:sz="0"/>
              <w:left w:val="none" w:color="FFFFFF" w:sz="0"/>
              <w:bottom w:val="single" w:color="D9D2C3" w:sz="4"/>
              <w:right w:val="none" w:color="FFFFFF" w:sz="0"/>
            </w:tcBorders>
            <w:shd w:fill="F3EFE7" w:color="auto" w:val="clear"/>
            <w:tcMar>
              <w:top w:type="dxa" w:w="80"/>
              <w:left w:type="dxa" w:w="100"/>
              <w:bottom w:type="dxa" w:w="80"/>
              <w:right w:type="dxa" w:w="100"/>
            </w:tcMar>
            <w:vAlign w:val="center"/>
          </w:tcPr>
          <w:p>
            <w:pPr>
              <w:spacing w:after="0" w:before="0" w:line="264"/>
            </w:pPr>
            <w:r>
              <w:rPr>
                <w:rFonts w:ascii="Arial" w:cs="Arial" w:eastAsia="Arial" w:hAnsi="Arial"/>
                <w:b w:val="false"/>
                <w:bCs w:val="false"/>
                <w:color w:val="2B2B2B"/>
                <w:sz w:val="16"/>
                <w:szCs w:val="16"/>
              </w:rPr>
              <w:t xml:space="preserve">50% on the event date</w:t>
            </w:r>
          </w:p>
        </w:tc>
        <w:tc>
          <w:tcPr>
            <w:tcW w:type="dxa" w:w="1850"/>
            <w:tcBorders>
              <w:top w:val="none" w:color="FFFFFF" w:sz="0"/>
              <w:left w:val="none" w:color="FFFFFF" w:sz="0"/>
              <w:bottom w:val="single" w:color="D9D2C3" w:sz="4"/>
              <w:right w:val="none" w:color="FFFFFF" w:sz="0"/>
            </w:tcBorders>
            <w:shd w:fill="F3EFE7" w:color="auto" w:val="clear"/>
            <w:tcMar>
              <w:top w:type="dxa" w:w="80"/>
              <w:left w:type="dxa" w:w="100"/>
              <w:bottom w:type="dxa" w:w="80"/>
              <w:right w:type="dxa" w:w="100"/>
            </w:tcMar>
            <w:vAlign w:val="center"/>
          </w:tcPr>
          <w:p>
            <w:pPr>
              <w:spacing w:after="0" w:before="0" w:line="264"/>
            </w:pPr>
            <w:r>
              <w:rPr>
                <w:rFonts w:ascii="Arial" w:cs="Arial" w:eastAsia="Arial" w:hAnsi="Arial"/>
                <w:b w:val="false"/>
                <w:bCs w:val="false"/>
                <w:color w:val="2B2B2B"/>
                <w:sz w:val="16"/>
                <w:szCs w:val="16"/>
              </w:rPr>
              <w:t xml:space="preserve">Deposit kept</w:t>
            </w:r>
          </w:p>
        </w:tc>
        <w:tc>
          <w:tcPr>
            <w:tcW w:type="dxa" w:w="1300"/>
            <w:tcBorders>
              <w:top w:val="none" w:color="FFFFFF" w:sz="0"/>
              <w:left w:val="none" w:color="FFFFFF" w:sz="0"/>
              <w:bottom w:val="single" w:color="D9D2C3" w:sz="4"/>
              <w:right w:val="none" w:color="FFFFFF" w:sz="0"/>
            </w:tcBorders>
            <w:shd w:fill="F3EFE7" w:color="auto" w:val="clear"/>
            <w:tcMar>
              <w:top w:type="dxa" w:w="80"/>
              <w:left w:type="dxa" w:w="100"/>
              <w:bottom w:type="dxa" w:w="80"/>
              <w:right w:type="dxa" w:w="100"/>
            </w:tcMar>
            <w:vAlign w:val="center"/>
          </w:tcPr>
          <w:p>
            <w:pPr>
              <w:spacing w:after="0" w:before="0" w:line="264"/>
            </w:pPr>
            <w:r>
              <w:rPr>
                <w:rFonts w:ascii="Arial" w:cs="Arial" w:eastAsia="Arial" w:hAnsi="Arial"/>
                <w:b w:val="false"/>
                <w:bCs w:val="false"/>
                <w:color w:val="2B2B2B"/>
                <w:sz w:val="16"/>
                <w:szCs w:val="16"/>
              </w:rPr>
              <w:t xml:space="preserve">75%</w:t>
            </w:r>
          </w:p>
        </w:tc>
        <w:tc>
          <w:tcPr>
            <w:tcW w:type="dxa" w:w="2016"/>
            <w:tcBorders>
              <w:top w:val="none" w:color="FFFFFF" w:sz="0"/>
              <w:left w:val="none" w:color="FFFFFF" w:sz="0"/>
              <w:bottom w:val="single" w:color="D9D2C3" w:sz="4"/>
              <w:right w:val="none" w:color="FFFFFF" w:sz="0"/>
            </w:tcBorders>
            <w:shd w:fill="F3EFE7" w:color="auto" w:val="clear"/>
            <w:tcMar>
              <w:top w:type="dxa" w:w="80"/>
              <w:left w:type="dxa" w:w="100"/>
              <w:bottom w:type="dxa" w:w="80"/>
              <w:right w:type="dxa" w:w="100"/>
            </w:tcMar>
            <w:vAlign w:val="center"/>
          </w:tcPr>
          <w:p>
            <w:pPr>
              <w:spacing w:after="0" w:before="0" w:line="264"/>
            </w:pPr>
            <w:r>
              <w:rPr>
                <w:rFonts w:ascii="Arial" w:cs="Arial" w:eastAsia="Arial" w:hAnsi="Arial"/>
                <w:b w:val="false"/>
                <w:bCs w:val="false"/>
                <w:color w:val="2B2B2B"/>
                <w:sz w:val="16"/>
                <w:szCs w:val="16"/>
              </w:rPr>
              <w:t xml:space="preserve">100%</w:t>
            </w:r>
          </w:p>
        </w:tc>
      </w:tr>
      <w:tr>
        <w:trPr>
          <w:cantSplit/>
          <w:tblHeader w:val="false"/>
        </w:trPr>
        <w:tc>
          <w:tcPr>
            <w:tcW w:type="dxa" w:w="2050"/>
            <w:tcBorders>
              <w:top w:val="none" w:color="FFFFFF" w:sz="0"/>
              <w:left w:val="none" w:color="FFFFFF" w:sz="0"/>
              <w:bottom w:val="single" w:color="D9D2C3" w:sz="4"/>
              <w:right w:val="none" w:color="FFFFFF" w:sz="0"/>
            </w:tcBorders>
            <w:tcMar>
              <w:top w:type="dxa" w:w="80"/>
              <w:left w:type="dxa" w:w="100"/>
              <w:bottom w:type="dxa" w:w="80"/>
              <w:right w:type="dxa" w:w="100"/>
            </w:tcMar>
            <w:vAlign w:val="center"/>
          </w:tcPr>
          <w:p>
            <w:pPr>
              <w:spacing w:after="0" w:before="0" w:line="264"/>
            </w:pPr>
            <w:r>
              <w:rPr>
                <w:rFonts w:ascii="Arial" w:cs="Arial" w:eastAsia="Arial" w:hAnsi="Arial"/>
                <w:b/>
                <w:bCs/>
                <w:color w:val="13201F"/>
                <w:sz w:val="16"/>
                <w:szCs w:val="16"/>
              </w:rPr>
              <w:t xml:space="preserve">Strata</w:t>
            </w:r>
          </w:p>
        </w:tc>
        <w:tc>
          <w:tcPr>
            <w:tcW w:type="dxa" w:w="1500"/>
            <w:tcBorders>
              <w:top w:val="none" w:color="FFFFFF" w:sz="0"/>
              <w:left w:val="none" w:color="FFFFFF" w:sz="0"/>
              <w:bottom w:val="single" w:color="D9D2C3" w:sz="4"/>
              <w:right w:val="none" w:color="FFFFFF" w:sz="0"/>
            </w:tcBorders>
            <w:tcMar>
              <w:top w:type="dxa" w:w="80"/>
              <w:left w:type="dxa" w:w="100"/>
              <w:bottom w:type="dxa" w:w="80"/>
              <w:right w:type="dxa" w:w="100"/>
            </w:tcMar>
            <w:vAlign w:val="center"/>
          </w:tcPr>
          <w:p>
            <w:pPr>
              <w:spacing w:after="0" w:before="0" w:line="264"/>
            </w:pPr>
            <w:r>
              <w:rPr>
                <w:rFonts w:ascii="Arial" w:cs="Arial" w:eastAsia="Arial" w:hAnsi="Arial"/>
                <w:b w:val="false"/>
                <w:bCs w:val="false"/>
                <w:color w:val="2B2B2B"/>
                <w:sz w:val="16"/>
                <w:szCs w:val="16"/>
              </w:rPr>
              <w:t xml:space="preserve">50% on booking</w:t>
            </w:r>
          </w:p>
        </w:tc>
        <w:tc>
          <w:tcPr>
            <w:tcW w:type="dxa" w:w="1750"/>
            <w:tcBorders>
              <w:top w:val="none" w:color="FFFFFF" w:sz="0"/>
              <w:left w:val="none" w:color="FFFFFF" w:sz="0"/>
              <w:bottom w:val="single" w:color="D9D2C3" w:sz="4"/>
              <w:right w:val="none" w:color="FFFFFF" w:sz="0"/>
            </w:tcBorders>
            <w:tcMar>
              <w:top w:type="dxa" w:w="80"/>
              <w:left w:type="dxa" w:w="100"/>
              <w:bottom w:type="dxa" w:w="80"/>
              <w:right w:type="dxa" w:w="100"/>
            </w:tcMar>
            <w:vAlign w:val="center"/>
          </w:tcPr>
          <w:p>
            <w:pPr>
              <w:spacing w:after="0" w:before="0" w:line="264"/>
            </w:pPr>
            <w:r>
              <w:rPr>
                <w:rFonts w:ascii="Arial" w:cs="Arial" w:eastAsia="Arial" w:hAnsi="Arial"/>
                <w:b w:val="false"/>
                <w:bCs w:val="false"/>
                <w:color w:val="2B2B2B"/>
                <w:sz w:val="16"/>
                <w:szCs w:val="16"/>
              </w:rPr>
              <w:t xml:space="preserve">50% on delivery</w:t>
            </w:r>
          </w:p>
        </w:tc>
        <w:tc>
          <w:tcPr>
            <w:tcW w:type="dxa" w:w="1850"/>
            <w:tcBorders>
              <w:top w:val="none" w:color="FFFFFF" w:sz="0"/>
              <w:left w:val="none" w:color="FFFFFF" w:sz="0"/>
              <w:bottom w:val="single" w:color="D9D2C3" w:sz="4"/>
              <w:right w:val="none" w:color="FFFFFF" w:sz="0"/>
            </w:tcBorders>
            <w:tcMar>
              <w:top w:type="dxa" w:w="80"/>
              <w:left w:type="dxa" w:w="100"/>
              <w:bottom w:type="dxa" w:w="80"/>
              <w:right w:type="dxa" w:w="100"/>
            </w:tcMar>
            <w:vAlign w:val="center"/>
          </w:tcPr>
          <w:p>
            <w:pPr>
              <w:spacing w:after="0" w:before="0" w:line="264"/>
            </w:pPr>
            <w:r>
              <w:rPr>
                <w:rFonts w:ascii="Arial" w:cs="Arial" w:eastAsia="Arial" w:hAnsi="Arial"/>
                <w:b w:val="false"/>
                <w:bCs w:val="false"/>
                <w:color w:val="2B2B2B"/>
                <w:sz w:val="16"/>
                <w:szCs w:val="16"/>
              </w:rPr>
              <w:t xml:space="preserve">25%</w:t>
            </w:r>
          </w:p>
        </w:tc>
        <w:tc>
          <w:tcPr>
            <w:tcW w:type="dxa" w:w="1300"/>
            <w:tcBorders>
              <w:top w:val="none" w:color="FFFFFF" w:sz="0"/>
              <w:left w:val="none" w:color="FFFFFF" w:sz="0"/>
              <w:bottom w:val="single" w:color="D9D2C3" w:sz="4"/>
              <w:right w:val="none" w:color="FFFFFF" w:sz="0"/>
            </w:tcBorders>
            <w:tcMar>
              <w:top w:type="dxa" w:w="80"/>
              <w:left w:type="dxa" w:w="100"/>
              <w:bottom w:type="dxa" w:w="80"/>
              <w:right w:type="dxa" w:w="100"/>
            </w:tcMar>
            <w:vAlign w:val="center"/>
          </w:tcPr>
          <w:p>
            <w:pPr>
              <w:spacing w:after="0" w:before="0" w:line="264"/>
            </w:pPr>
            <w:r>
              <w:rPr>
                <w:rFonts w:ascii="Arial" w:cs="Arial" w:eastAsia="Arial" w:hAnsi="Arial"/>
                <w:b w:val="false"/>
                <w:bCs w:val="false"/>
                <w:color w:val="2B2B2B"/>
                <w:sz w:val="16"/>
                <w:szCs w:val="16"/>
              </w:rPr>
              <w:t xml:space="preserve">50%</w:t>
            </w:r>
          </w:p>
        </w:tc>
        <w:tc>
          <w:tcPr>
            <w:tcW w:type="dxa" w:w="2016"/>
            <w:tcBorders>
              <w:top w:val="none" w:color="FFFFFF" w:sz="0"/>
              <w:left w:val="none" w:color="FFFFFF" w:sz="0"/>
              <w:bottom w:val="single" w:color="D9D2C3" w:sz="4"/>
              <w:right w:val="none" w:color="FFFFFF" w:sz="0"/>
            </w:tcBorders>
            <w:tcMar>
              <w:top w:type="dxa" w:w="80"/>
              <w:left w:type="dxa" w:w="100"/>
              <w:bottom w:type="dxa" w:w="80"/>
              <w:right w:type="dxa" w:w="100"/>
            </w:tcMar>
            <w:vAlign w:val="center"/>
          </w:tcPr>
          <w:p>
            <w:pPr>
              <w:spacing w:after="0" w:before="0" w:line="264"/>
            </w:pPr>
            <w:r>
              <w:rPr>
                <w:rFonts w:ascii="Arial" w:cs="Arial" w:eastAsia="Arial" w:hAnsi="Arial"/>
                <w:b w:val="false"/>
                <w:bCs w:val="false"/>
                <w:color w:val="2B2B2B"/>
                <w:sz w:val="16"/>
                <w:szCs w:val="16"/>
              </w:rPr>
              <w:t xml:space="preserve">100%</w:t>
            </w:r>
          </w:p>
        </w:tc>
      </w:tr>
      <w:tr>
        <w:trPr>
          <w:cantSplit/>
          <w:tblHeader w:val="false"/>
        </w:trPr>
        <w:tc>
          <w:tcPr>
            <w:tcW w:type="dxa" w:w="2050"/>
            <w:tcBorders>
              <w:top w:val="none" w:color="FFFFFF" w:sz="0"/>
              <w:left w:val="none" w:color="FFFFFF" w:sz="0"/>
              <w:bottom w:val="single" w:color="D9D2C3" w:sz="4"/>
              <w:right w:val="none" w:color="FFFFFF" w:sz="0"/>
            </w:tcBorders>
            <w:shd w:fill="F3EFE7" w:color="auto" w:val="clear"/>
            <w:tcMar>
              <w:top w:type="dxa" w:w="80"/>
              <w:left w:type="dxa" w:w="100"/>
              <w:bottom w:type="dxa" w:w="80"/>
              <w:right w:type="dxa" w:w="100"/>
            </w:tcMar>
            <w:vAlign w:val="center"/>
          </w:tcPr>
          <w:p>
            <w:pPr>
              <w:spacing w:after="0" w:before="0" w:line="264"/>
            </w:pPr>
            <w:r>
              <w:rPr>
                <w:rFonts w:ascii="Arial" w:cs="Arial" w:eastAsia="Arial" w:hAnsi="Arial"/>
                <w:b/>
                <w:bCs/>
                <w:color w:val="13201F"/>
                <w:sz w:val="16"/>
                <w:szCs w:val="16"/>
              </w:rPr>
              <w:t xml:space="preserve">Operation Convergence</w:t>
            </w:r>
          </w:p>
        </w:tc>
        <w:tc>
          <w:tcPr>
            <w:tcW w:type="dxa" w:w="1500"/>
            <w:tcBorders>
              <w:top w:val="none" w:color="FFFFFF" w:sz="0"/>
              <w:left w:val="none" w:color="FFFFFF" w:sz="0"/>
              <w:bottom w:val="single" w:color="D9D2C3" w:sz="4"/>
              <w:right w:val="none" w:color="FFFFFF" w:sz="0"/>
            </w:tcBorders>
            <w:shd w:fill="F3EFE7" w:color="auto" w:val="clear"/>
            <w:tcMar>
              <w:top w:type="dxa" w:w="80"/>
              <w:left w:type="dxa" w:w="100"/>
              <w:bottom w:type="dxa" w:w="80"/>
              <w:right w:type="dxa" w:w="100"/>
            </w:tcMar>
            <w:vAlign w:val="center"/>
          </w:tcPr>
          <w:p>
            <w:pPr>
              <w:spacing w:after="0" w:before="0" w:line="264"/>
            </w:pPr>
            <w:r>
              <w:rPr>
                <w:rFonts w:ascii="Arial" w:cs="Arial" w:eastAsia="Arial" w:hAnsi="Arial"/>
                <w:b w:val="false"/>
                <w:bCs w:val="false"/>
                <w:color w:val="2B2B2B"/>
                <w:sz w:val="16"/>
                <w:szCs w:val="16"/>
              </w:rPr>
              <w:t xml:space="preserve">50% on booking</w:t>
            </w:r>
          </w:p>
        </w:tc>
        <w:tc>
          <w:tcPr>
            <w:tcW w:type="dxa" w:w="1750"/>
            <w:tcBorders>
              <w:top w:val="none" w:color="FFFFFF" w:sz="0"/>
              <w:left w:val="none" w:color="FFFFFF" w:sz="0"/>
              <w:bottom w:val="single" w:color="D9D2C3" w:sz="4"/>
              <w:right w:val="none" w:color="FFFFFF" w:sz="0"/>
            </w:tcBorders>
            <w:shd w:fill="F3EFE7" w:color="auto" w:val="clear"/>
            <w:tcMar>
              <w:top w:type="dxa" w:w="80"/>
              <w:left w:type="dxa" w:w="100"/>
              <w:bottom w:type="dxa" w:w="80"/>
              <w:right w:type="dxa" w:w="100"/>
            </w:tcMar>
            <w:vAlign w:val="center"/>
          </w:tcPr>
          <w:p>
            <w:pPr>
              <w:spacing w:after="0" w:before="0" w:line="264"/>
            </w:pPr>
            <w:r>
              <w:rPr>
                <w:rFonts w:ascii="Arial" w:cs="Arial" w:eastAsia="Arial" w:hAnsi="Arial"/>
                <w:b w:val="false"/>
                <w:bCs w:val="false"/>
                <w:color w:val="2B2B2B"/>
                <w:sz w:val="16"/>
                <w:szCs w:val="16"/>
              </w:rPr>
              <w:t xml:space="preserve">50% on delivery</w:t>
            </w:r>
          </w:p>
        </w:tc>
        <w:tc>
          <w:tcPr>
            <w:tcW w:type="dxa" w:w="1850"/>
            <w:tcBorders>
              <w:top w:val="none" w:color="FFFFFF" w:sz="0"/>
              <w:left w:val="none" w:color="FFFFFF" w:sz="0"/>
              <w:bottom w:val="single" w:color="D9D2C3" w:sz="4"/>
              <w:right w:val="none" w:color="FFFFFF" w:sz="0"/>
            </w:tcBorders>
            <w:shd w:fill="F3EFE7" w:color="auto" w:val="clear"/>
            <w:tcMar>
              <w:top w:type="dxa" w:w="80"/>
              <w:left w:type="dxa" w:w="100"/>
              <w:bottom w:type="dxa" w:w="80"/>
              <w:right w:type="dxa" w:w="100"/>
            </w:tcMar>
            <w:vAlign w:val="center"/>
          </w:tcPr>
          <w:p>
            <w:pPr>
              <w:spacing w:after="0" w:before="0" w:line="264"/>
            </w:pPr>
            <w:r>
              <w:rPr>
                <w:rFonts w:ascii="Arial" w:cs="Arial" w:eastAsia="Arial" w:hAnsi="Arial"/>
                <w:b w:val="false"/>
                <w:bCs w:val="false"/>
                <w:color w:val="2B2B2B"/>
                <w:sz w:val="16"/>
                <w:szCs w:val="16"/>
              </w:rPr>
              <w:t xml:space="preserve">30%</w:t>
            </w:r>
          </w:p>
        </w:tc>
        <w:tc>
          <w:tcPr>
            <w:tcW w:type="dxa" w:w="1300"/>
            <w:tcBorders>
              <w:top w:val="none" w:color="FFFFFF" w:sz="0"/>
              <w:left w:val="none" w:color="FFFFFF" w:sz="0"/>
              <w:bottom w:val="single" w:color="D9D2C3" w:sz="4"/>
              <w:right w:val="none" w:color="FFFFFF" w:sz="0"/>
            </w:tcBorders>
            <w:shd w:fill="F3EFE7" w:color="auto" w:val="clear"/>
            <w:tcMar>
              <w:top w:type="dxa" w:w="80"/>
              <w:left w:type="dxa" w:w="100"/>
              <w:bottom w:type="dxa" w:w="80"/>
              <w:right w:type="dxa" w:w="100"/>
            </w:tcMar>
            <w:vAlign w:val="center"/>
          </w:tcPr>
          <w:p>
            <w:pPr>
              <w:spacing w:after="0" w:before="0" w:line="264"/>
            </w:pPr>
            <w:r>
              <w:rPr>
                <w:rFonts w:ascii="Arial" w:cs="Arial" w:eastAsia="Arial" w:hAnsi="Arial"/>
                <w:b w:val="false"/>
                <w:bCs w:val="false"/>
                <w:color w:val="2B2B2B"/>
                <w:sz w:val="16"/>
                <w:szCs w:val="16"/>
              </w:rPr>
              <w:t xml:space="preserve">50%</w:t>
            </w:r>
          </w:p>
        </w:tc>
        <w:tc>
          <w:tcPr>
            <w:tcW w:type="dxa" w:w="2016"/>
            <w:tcBorders>
              <w:top w:val="none" w:color="FFFFFF" w:sz="0"/>
              <w:left w:val="none" w:color="FFFFFF" w:sz="0"/>
              <w:bottom w:val="single" w:color="D9D2C3" w:sz="4"/>
              <w:right w:val="none" w:color="FFFFFF" w:sz="0"/>
            </w:tcBorders>
            <w:shd w:fill="F3EFE7" w:color="auto" w:val="clear"/>
            <w:tcMar>
              <w:top w:type="dxa" w:w="80"/>
              <w:left w:type="dxa" w:w="100"/>
              <w:bottom w:type="dxa" w:w="80"/>
              <w:right w:type="dxa" w:w="100"/>
            </w:tcMar>
            <w:vAlign w:val="center"/>
          </w:tcPr>
          <w:p>
            <w:pPr>
              <w:spacing w:after="0" w:before="0" w:line="264"/>
            </w:pPr>
            <w:r>
              <w:rPr>
                <w:rFonts w:ascii="Arial" w:cs="Arial" w:eastAsia="Arial" w:hAnsi="Arial"/>
                <w:b w:val="false"/>
                <w:bCs w:val="false"/>
                <w:color w:val="2B2B2B"/>
                <w:sz w:val="16"/>
                <w:szCs w:val="16"/>
              </w:rPr>
              <w:t xml:space="preserve">100%</w:t>
            </w:r>
          </w:p>
        </w:tc>
      </w:tr>
      <w:tr>
        <w:trPr>
          <w:cantSplit/>
          <w:tblHeader w:val="false"/>
        </w:trPr>
        <w:tc>
          <w:tcPr>
            <w:tcW w:type="dxa" w:w="2050"/>
            <w:tcBorders>
              <w:top w:val="none" w:color="FFFFFF" w:sz="0"/>
              <w:left w:val="none" w:color="FFFFFF" w:sz="0"/>
              <w:bottom w:val="single" w:color="D9D2C3" w:sz="4"/>
              <w:right w:val="none" w:color="FFFFFF" w:sz="0"/>
            </w:tcBorders>
            <w:tcMar>
              <w:top w:type="dxa" w:w="80"/>
              <w:left w:type="dxa" w:w="100"/>
              <w:bottom w:type="dxa" w:w="80"/>
              <w:right w:type="dxa" w:w="100"/>
            </w:tcMar>
            <w:vAlign w:val="center"/>
          </w:tcPr>
          <w:p>
            <w:pPr>
              <w:spacing w:after="0" w:before="0" w:line="264"/>
            </w:pPr>
            <w:r>
              <w:rPr>
                <w:rFonts w:ascii="Arial" w:cs="Arial" w:eastAsia="Arial" w:hAnsi="Arial"/>
                <w:b/>
                <w:bCs/>
                <w:color w:val="13201F"/>
                <w:sz w:val="16"/>
                <w:szCs w:val="16"/>
              </w:rPr>
              <w:t xml:space="preserve">Mantle</w:t>
            </w:r>
          </w:p>
        </w:tc>
        <w:tc>
          <w:tcPr>
            <w:tcW w:type="dxa" w:w="1500"/>
            <w:tcBorders>
              <w:top w:val="none" w:color="FFFFFF" w:sz="0"/>
              <w:left w:val="none" w:color="FFFFFF" w:sz="0"/>
              <w:bottom w:val="single" w:color="D9D2C3" w:sz="4"/>
              <w:right w:val="none" w:color="FFFFFF" w:sz="0"/>
            </w:tcBorders>
            <w:tcMar>
              <w:top w:type="dxa" w:w="80"/>
              <w:left w:type="dxa" w:w="100"/>
              <w:bottom w:type="dxa" w:w="80"/>
              <w:right w:type="dxa" w:w="100"/>
            </w:tcMar>
            <w:vAlign w:val="center"/>
          </w:tcPr>
          <w:p>
            <w:pPr>
              <w:spacing w:after="0" w:before="0" w:line="264"/>
            </w:pPr>
            <w:r>
              <w:rPr>
                <w:rFonts w:ascii="Arial" w:cs="Arial" w:eastAsia="Arial" w:hAnsi="Arial"/>
                <w:b w:val="false"/>
                <w:bCs w:val="false"/>
                <w:color w:val="2B2B2B"/>
                <w:sz w:val="16"/>
                <w:szCs w:val="16"/>
              </w:rPr>
              <w:t xml:space="preserve">50% on booking</w:t>
            </w:r>
          </w:p>
        </w:tc>
        <w:tc>
          <w:tcPr>
            <w:tcW w:type="dxa" w:w="1750"/>
            <w:tcBorders>
              <w:top w:val="none" w:color="FFFFFF" w:sz="0"/>
              <w:left w:val="none" w:color="FFFFFF" w:sz="0"/>
              <w:bottom w:val="single" w:color="D9D2C3" w:sz="4"/>
              <w:right w:val="none" w:color="FFFFFF" w:sz="0"/>
            </w:tcBorders>
            <w:tcMar>
              <w:top w:type="dxa" w:w="80"/>
              <w:left w:type="dxa" w:w="100"/>
              <w:bottom w:type="dxa" w:w="80"/>
              <w:right w:type="dxa" w:w="100"/>
            </w:tcMar>
            <w:vAlign w:val="center"/>
          </w:tcPr>
          <w:p>
            <w:pPr>
              <w:spacing w:after="0" w:before="0" w:line="264"/>
            </w:pPr>
            <w:r>
              <w:rPr>
                <w:rFonts w:ascii="Arial" w:cs="Arial" w:eastAsia="Arial" w:hAnsi="Arial"/>
                <w:b w:val="false"/>
                <w:bCs w:val="false"/>
                <w:color w:val="2B2B2B"/>
                <w:sz w:val="16"/>
                <w:szCs w:val="16"/>
              </w:rPr>
              <w:t xml:space="preserve">50% at module 3</w:t>
            </w:r>
          </w:p>
        </w:tc>
        <w:tc>
          <w:tcPr>
            <w:tcW w:type="dxa" w:w="1850"/>
            <w:tcBorders>
              <w:top w:val="none" w:color="FFFFFF" w:sz="0"/>
              <w:left w:val="none" w:color="FFFFFF" w:sz="0"/>
              <w:bottom w:val="single" w:color="D9D2C3" w:sz="4"/>
              <w:right w:val="none" w:color="FFFFFF" w:sz="0"/>
            </w:tcBorders>
            <w:tcMar>
              <w:top w:type="dxa" w:w="80"/>
              <w:left w:type="dxa" w:w="100"/>
              <w:bottom w:type="dxa" w:w="80"/>
              <w:right w:type="dxa" w:w="100"/>
            </w:tcMar>
            <w:vAlign w:val="center"/>
          </w:tcPr>
          <w:p>
            <w:pPr>
              <w:spacing w:after="0" w:before="0" w:line="264"/>
            </w:pPr>
            <w:r>
              <w:rPr>
                <w:rFonts w:ascii="Arial" w:cs="Arial" w:eastAsia="Arial" w:hAnsi="Arial"/>
                <w:b w:val="false"/>
                <w:bCs w:val="false"/>
                <w:color w:val="2B2B2B"/>
                <w:sz w:val="16"/>
                <w:szCs w:val="16"/>
              </w:rPr>
              <w:t xml:space="preserve">25%</w:t>
            </w:r>
          </w:p>
        </w:tc>
        <w:tc>
          <w:tcPr>
            <w:tcW w:type="dxa" w:w="1300"/>
            <w:tcBorders>
              <w:top w:val="none" w:color="FFFFFF" w:sz="0"/>
              <w:left w:val="none" w:color="FFFFFF" w:sz="0"/>
              <w:bottom w:val="single" w:color="D9D2C3" w:sz="4"/>
              <w:right w:val="none" w:color="FFFFFF" w:sz="0"/>
            </w:tcBorders>
            <w:tcMar>
              <w:top w:type="dxa" w:w="80"/>
              <w:left w:type="dxa" w:w="100"/>
              <w:bottom w:type="dxa" w:w="80"/>
              <w:right w:type="dxa" w:w="100"/>
            </w:tcMar>
            <w:vAlign w:val="center"/>
          </w:tcPr>
          <w:p>
            <w:pPr>
              <w:spacing w:after="0" w:before="0" w:line="264"/>
            </w:pPr>
            <w:r>
              <w:rPr>
                <w:rFonts w:ascii="Arial" w:cs="Arial" w:eastAsia="Arial" w:hAnsi="Arial"/>
                <w:b w:val="false"/>
                <w:bCs w:val="false"/>
                <w:color w:val="2B2B2B"/>
                <w:sz w:val="16"/>
                <w:szCs w:val="16"/>
              </w:rPr>
              <w:t xml:space="preserve">50%</w:t>
            </w:r>
          </w:p>
        </w:tc>
        <w:tc>
          <w:tcPr>
            <w:tcW w:type="dxa" w:w="2016"/>
            <w:tcBorders>
              <w:top w:val="none" w:color="FFFFFF" w:sz="0"/>
              <w:left w:val="none" w:color="FFFFFF" w:sz="0"/>
              <w:bottom w:val="single" w:color="D9D2C3" w:sz="4"/>
              <w:right w:val="none" w:color="FFFFFF" w:sz="0"/>
            </w:tcBorders>
            <w:tcMar>
              <w:top w:type="dxa" w:w="80"/>
              <w:left w:type="dxa" w:w="100"/>
              <w:bottom w:type="dxa" w:w="80"/>
              <w:right w:type="dxa" w:w="100"/>
            </w:tcMar>
            <w:vAlign w:val="center"/>
          </w:tcPr>
          <w:p>
            <w:pPr>
              <w:spacing w:after="0" w:before="0" w:line="264"/>
            </w:pPr>
            <w:r>
              <w:rPr>
                <w:rFonts w:ascii="Arial" w:cs="Arial" w:eastAsia="Arial" w:hAnsi="Arial"/>
                <w:b w:val="false"/>
                <w:bCs w:val="false"/>
                <w:color w:val="2B2B2B"/>
                <w:sz w:val="16"/>
                <w:szCs w:val="16"/>
              </w:rPr>
              <w:t xml:space="preserve">50% kept; balance due once started</w:t>
            </w:r>
          </w:p>
        </w:tc>
      </w:tr>
      <w:tr>
        <w:trPr>
          <w:cantSplit/>
          <w:tblHeader w:val="false"/>
        </w:trPr>
        <w:tc>
          <w:tcPr>
            <w:tcW w:type="dxa" w:w="2050"/>
            <w:tcBorders>
              <w:top w:val="none" w:color="FFFFFF" w:sz="0"/>
              <w:left w:val="none" w:color="FFFFFF" w:sz="0"/>
              <w:bottom w:val="single" w:color="D9D2C3" w:sz="4"/>
              <w:right w:val="none" w:color="FFFFFF" w:sz="0"/>
            </w:tcBorders>
            <w:shd w:fill="F3EFE7" w:color="auto" w:val="clear"/>
            <w:tcMar>
              <w:top w:type="dxa" w:w="80"/>
              <w:left w:type="dxa" w:w="100"/>
              <w:bottom w:type="dxa" w:w="80"/>
              <w:right w:type="dxa" w:w="100"/>
            </w:tcMar>
            <w:vAlign w:val="center"/>
          </w:tcPr>
          <w:p>
            <w:pPr>
              <w:spacing w:after="0" w:before="0" w:line="264"/>
            </w:pPr>
            <w:r>
              <w:rPr>
                <w:rFonts w:ascii="Arial" w:cs="Arial" w:eastAsia="Arial" w:hAnsi="Arial"/>
                <w:b/>
                <w:bCs/>
                <w:color w:val="13201F"/>
                <w:sz w:val="16"/>
                <w:szCs w:val="16"/>
              </w:rPr>
              <w:t xml:space="preserve">Keystone</w:t>
            </w:r>
          </w:p>
        </w:tc>
        <w:tc>
          <w:tcPr>
            <w:tcW w:type="dxa" w:w="1500"/>
            <w:tcBorders>
              <w:top w:val="none" w:color="FFFFFF" w:sz="0"/>
              <w:left w:val="none" w:color="FFFFFF" w:sz="0"/>
              <w:bottom w:val="single" w:color="D9D2C3" w:sz="4"/>
              <w:right w:val="none" w:color="FFFFFF" w:sz="0"/>
            </w:tcBorders>
            <w:shd w:fill="F3EFE7" w:color="auto" w:val="clear"/>
            <w:tcMar>
              <w:top w:type="dxa" w:w="80"/>
              <w:left w:type="dxa" w:w="100"/>
              <w:bottom w:type="dxa" w:w="80"/>
              <w:right w:type="dxa" w:w="100"/>
            </w:tcMar>
            <w:vAlign w:val="center"/>
          </w:tcPr>
          <w:p>
            <w:pPr>
              <w:spacing w:after="0" w:before="0" w:line="264"/>
            </w:pPr>
            <w:r>
              <w:rPr>
                <w:rFonts w:ascii="Arial" w:cs="Arial" w:eastAsia="Arial" w:hAnsi="Arial"/>
                <w:b w:val="false"/>
                <w:bCs w:val="false"/>
                <w:color w:val="2B2B2B"/>
                <w:sz w:val="16"/>
                <w:szCs w:val="16"/>
              </w:rPr>
              <w:t xml:space="preserve">50% on booking</w:t>
            </w:r>
          </w:p>
        </w:tc>
        <w:tc>
          <w:tcPr>
            <w:tcW w:type="dxa" w:w="1750"/>
            <w:tcBorders>
              <w:top w:val="none" w:color="FFFFFF" w:sz="0"/>
              <w:left w:val="none" w:color="FFFFFF" w:sz="0"/>
              <w:bottom w:val="single" w:color="D9D2C3" w:sz="4"/>
              <w:right w:val="none" w:color="FFFFFF" w:sz="0"/>
            </w:tcBorders>
            <w:shd w:fill="F3EFE7" w:color="auto" w:val="clear"/>
            <w:tcMar>
              <w:top w:type="dxa" w:w="80"/>
              <w:left w:type="dxa" w:w="100"/>
              <w:bottom w:type="dxa" w:w="80"/>
              <w:right w:type="dxa" w:w="100"/>
            </w:tcMar>
            <w:vAlign w:val="center"/>
          </w:tcPr>
          <w:p>
            <w:pPr>
              <w:spacing w:after="0" w:before="0" w:line="264"/>
            </w:pPr>
            <w:r>
              <w:rPr>
                <w:rFonts w:ascii="Arial" w:cs="Arial" w:eastAsia="Arial" w:hAnsi="Arial"/>
                <w:b w:val="false"/>
                <w:bCs w:val="false"/>
                <w:color w:val="2B2B2B"/>
                <w:sz w:val="16"/>
                <w:szCs w:val="16"/>
              </w:rPr>
              <w:t xml:space="preserve">50% after session 2</w:t>
            </w:r>
          </w:p>
        </w:tc>
        <w:tc>
          <w:tcPr>
            <w:tcW w:type="dxa" w:w="1850"/>
            <w:tcBorders>
              <w:top w:val="none" w:color="FFFFFF" w:sz="0"/>
              <w:left w:val="none" w:color="FFFFFF" w:sz="0"/>
              <w:bottom w:val="single" w:color="D9D2C3" w:sz="4"/>
              <w:right w:val="none" w:color="FFFFFF" w:sz="0"/>
            </w:tcBorders>
            <w:shd w:fill="F3EFE7" w:color="auto" w:val="clear"/>
            <w:tcMar>
              <w:top w:type="dxa" w:w="80"/>
              <w:left w:type="dxa" w:w="100"/>
              <w:bottom w:type="dxa" w:w="80"/>
              <w:right w:type="dxa" w:w="100"/>
            </w:tcMar>
            <w:vAlign w:val="center"/>
          </w:tcPr>
          <w:p>
            <w:pPr>
              <w:spacing w:after="0" w:before="0" w:line="264"/>
            </w:pPr>
            <w:r>
              <w:rPr>
                <w:rFonts w:ascii="Arial" w:cs="Arial" w:eastAsia="Arial" w:hAnsi="Arial"/>
                <w:b w:val="false"/>
                <w:bCs w:val="false"/>
                <w:color w:val="2B2B2B"/>
                <w:sz w:val="16"/>
                <w:szCs w:val="16"/>
              </w:rPr>
              <w:t xml:space="preserve">25%</w:t>
            </w:r>
          </w:p>
        </w:tc>
        <w:tc>
          <w:tcPr>
            <w:tcW w:type="dxa" w:w="1300"/>
            <w:tcBorders>
              <w:top w:val="none" w:color="FFFFFF" w:sz="0"/>
              <w:left w:val="none" w:color="FFFFFF" w:sz="0"/>
              <w:bottom w:val="single" w:color="D9D2C3" w:sz="4"/>
              <w:right w:val="none" w:color="FFFFFF" w:sz="0"/>
            </w:tcBorders>
            <w:shd w:fill="F3EFE7" w:color="auto" w:val="clear"/>
            <w:tcMar>
              <w:top w:type="dxa" w:w="80"/>
              <w:left w:type="dxa" w:w="100"/>
              <w:bottom w:type="dxa" w:w="80"/>
              <w:right w:type="dxa" w:w="100"/>
            </w:tcMar>
            <w:vAlign w:val="center"/>
          </w:tcPr>
          <w:p>
            <w:pPr>
              <w:spacing w:after="0" w:before="0" w:line="264"/>
            </w:pPr>
            <w:r>
              <w:rPr>
                <w:rFonts w:ascii="Arial" w:cs="Arial" w:eastAsia="Arial" w:hAnsi="Arial"/>
                <w:b w:val="false"/>
                <w:bCs w:val="false"/>
                <w:color w:val="2B2B2B"/>
                <w:sz w:val="16"/>
                <w:szCs w:val="16"/>
              </w:rPr>
              <w:t xml:space="preserve">50%</w:t>
            </w:r>
          </w:p>
        </w:tc>
        <w:tc>
          <w:tcPr>
            <w:tcW w:type="dxa" w:w="2016"/>
            <w:tcBorders>
              <w:top w:val="none" w:color="FFFFFF" w:sz="0"/>
              <w:left w:val="none" w:color="FFFFFF" w:sz="0"/>
              <w:bottom w:val="single" w:color="D9D2C3" w:sz="4"/>
              <w:right w:val="none" w:color="FFFFFF" w:sz="0"/>
            </w:tcBorders>
            <w:shd w:fill="F3EFE7" w:color="auto" w:val="clear"/>
            <w:tcMar>
              <w:top w:type="dxa" w:w="80"/>
              <w:left w:type="dxa" w:w="100"/>
              <w:bottom w:type="dxa" w:w="80"/>
              <w:right w:type="dxa" w:w="100"/>
            </w:tcMar>
            <w:vAlign w:val="center"/>
          </w:tcPr>
          <w:p>
            <w:pPr>
              <w:spacing w:after="0" w:before="0" w:line="264"/>
            </w:pPr>
            <w:r>
              <w:rPr>
                <w:rFonts w:ascii="Arial" w:cs="Arial" w:eastAsia="Arial" w:hAnsi="Arial"/>
                <w:b w:val="false"/>
                <w:bCs w:val="false"/>
                <w:color w:val="2B2B2B"/>
                <w:sz w:val="16"/>
                <w:szCs w:val="16"/>
              </w:rPr>
              <w:t xml:space="preserve">100% of sessions within 30 days</w:t>
            </w:r>
          </w:p>
        </w:tc>
      </w:tr>
      <w:tr>
        <w:trPr>
          <w:cantSplit/>
          <w:tblHeader w:val="false"/>
        </w:trPr>
        <w:tc>
          <w:tcPr>
            <w:tcW w:type="dxa" w:w="2050"/>
            <w:tcBorders>
              <w:top w:val="none" w:color="FFFFFF" w:sz="0"/>
              <w:left w:val="none" w:color="FFFFFF" w:sz="0"/>
              <w:bottom w:val="single" w:color="D9D2C3" w:sz="4"/>
              <w:right w:val="none" w:color="FFFFFF" w:sz="0"/>
            </w:tcBorders>
            <w:tcMar>
              <w:top w:type="dxa" w:w="80"/>
              <w:left w:type="dxa" w:w="100"/>
              <w:bottom w:type="dxa" w:w="80"/>
              <w:right w:type="dxa" w:w="100"/>
            </w:tcMar>
            <w:vAlign w:val="center"/>
          </w:tcPr>
          <w:p>
            <w:pPr>
              <w:spacing w:after="0" w:before="0" w:line="264"/>
            </w:pPr>
            <w:r>
              <w:rPr>
                <w:rFonts w:ascii="Arial" w:cs="Arial" w:eastAsia="Arial" w:hAnsi="Arial"/>
                <w:b/>
                <w:bCs/>
                <w:color w:val="13201F"/>
                <w:sz w:val="16"/>
                <w:szCs w:val="16"/>
              </w:rPr>
              <w:t xml:space="preserve">Coaching packs</w:t>
            </w:r>
          </w:p>
        </w:tc>
        <w:tc>
          <w:tcPr>
            <w:tcW w:type="dxa" w:w="1500"/>
            <w:tcBorders>
              <w:top w:val="none" w:color="FFFFFF" w:sz="0"/>
              <w:left w:val="none" w:color="FFFFFF" w:sz="0"/>
              <w:bottom w:val="single" w:color="D9D2C3" w:sz="4"/>
              <w:right w:val="none" w:color="FFFFFF" w:sz="0"/>
            </w:tcBorders>
            <w:tcMar>
              <w:top w:type="dxa" w:w="80"/>
              <w:left w:type="dxa" w:w="100"/>
              <w:bottom w:type="dxa" w:w="80"/>
              <w:right w:type="dxa" w:w="100"/>
            </w:tcMar>
            <w:vAlign w:val="center"/>
          </w:tcPr>
          <w:p>
            <w:pPr>
              <w:spacing w:after="0" w:before="0" w:line="264"/>
            </w:pPr>
            <w:r>
              <w:rPr>
                <w:rFonts w:ascii="Arial" w:cs="Arial" w:eastAsia="Arial" w:hAnsi="Arial"/>
                <w:b w:val="false"/>
                <w:bCs w:val="false"/>
                <w:color w:val="2B2B2B"/>
                <w:sz w:val="16"/>
                <w:szCs w:val="16"/>
              </w:rPr>
              <w:t xml:space="preserve">100% on booking</w:t>
            </w:r>
          </w:p>
        </w:tc>
        <w:tc>
          <w:tcPr>
            <w:tcW w:type="dxa" w:w="1750"/>
            <w:tcBorders>
              <w:top w:val="none" w:color="FFFFFF" w:sz="0"/>
              <w:left w:val="none" w:color="FFFFFF" w:sz="0"/>
              <w:bottom w:val="single" w:color="D9D2C3" w:sz="4"/>
              <w:right w:val="none" w:color="FFFFFF" w:sz="0"/>
            </w:tcBorders>
            <w:tcMar>
              <w:top w:type="dxa" w:w="80"/>
              <w:left w:type="dxa" w:w="100"/>
              <w:bottom w:type="dxa" w:w="80"/>
              <w:right w:type="dxa" w:w="100"/>
            </w:tcMar>
            <w:vAlign w:val="center"/>
          </w:tcPr>
          <w:p>
            <w:pPr>
              <w:spacing w:after="0" w:before="0" w:line="264"/>
            </w:pPr>
            <w:r>
              <w:rPr>
                <w:rFonts w:ascii="Arial" w:cs="Arial" w:eastAsia="Arial" w:hAnsi="Arial"/>
                <w:b w:val="false"/>
                <w:bCs w:val="false"/>
                <w:color w:val="2B2B2B"/>
                <w:sz w:val="16"/>
                <w:szCs w:val="16"/>
              </w:rPr>
              <w:t xml:space="preserve">—</w:t>
            </w:r>
          </w:p>
        </w:tc>
        <w:tc>
          <w:tcPr>
            <w:tcW w:type="dxa" w:w="1850"/>
            <w:tcBorders>
              <w:top w:val="none" w:color="FFFFFF" w:sz="0"/>
              <w:left w:val="none" w:color="FFFFFF" w:sz="0"/>
              <w:bottom w:val="single" w:color="D9D2C3" w:sz="4"/>
              <w:right w:val="none" w:color="FFFFFF" w:sz="0"/>
            </w:tcBorders>
            <w:tcMar>
              <w:top w:type="dxa" w:w="80"/>
              <w:left w:type="dxa" w:w="100"/>
              <w:bottom w:type="dxa" w:w="80"/>
              <w:right w:type="dxa" w:w="100"/>
            </w:tcMar>
            <w:vAlign w:val="center"/>
          </w:tcPr>
          <w:p>
            <w:pPr>
              <w:spacing w:after="0" w:before="0" w:line="264"/>
            </w:pPr>
            <w:r>
              <w:rPr>
                <w:rFonts w:ascii="Arial" w:cs="Arial" w:eastAsia="Arial" w:hAnsi="Arial"/>
                <w:b w:val="false"/>
                <w:bCs w:val="false"/>
                <w:color w:val="2B2B2B"/>
                <w:sz w:val="16"/>
                <w:szCs w:val="16"/>
              </w:rPr>
              <w:t xml:space="preserve">Refund of unused sessions, less 10%</w:t>
            </w:r>
          </w:p>
        </w:tc>
        <w:tc>
          <w:tcPr>
            <w:tcW w:type="dxa" w:w="1300"/>
            <w:tcBorders>
              <w:top w:val="none" w:color="FFFFFF" w:sz="0"/>
              <w:left w:val="none" w:color="FFFFFF" w:sz="0"/>
              <w:bottom w:val="single" w:color="D9D2C3" w:sz="4"/>
              <w:right w:val="none" w:color="FFFFFF" w:sz="0"/>
            </w:tcBorders>
            <w:tcMar>
              <w:top w:type="dxa" w:w="80"/>
              <w:left w:type="dxa" w:w="100"/>
              <w:bottom w:type="dxa" w:w="80"/>
              <w:right w:type="dxa" w:w="100"/>
            </w:tcMar>
            <w:vAlign w:val="center"/>
          </w:tcPr>
          <w:p>
            <w:pPr>
              <w:spacing w:after="0" w:before="0" w:line="264"/>
            </w:pPr>
            <w:r>
              <w:rPr>
                <w:rFonts w:ascii="Arial" w:cs="Arial" w:eastAsia="Arial" w:hAnsi="Arial"/>
                <w:b w:val="false"/>
                <w:bCs w:val="false"/>
                <w:color w:val="2B2B2B"/>
                <w:sz w:val="16"/>
                <w:szCs w:val="16"/>
              </w:rPr>
              <w:t xml:space="preserve">—</w:t>
            </w:r>
          </w:p>
        </w:tc>
        <w:tc>
          <w:tcPr>
            <w:tcW w:type="dxa" w:w="2016"/>
            <w:tcBorders>
              <w:top w:val="none" w:color="FFFFFF" w:sz="0"/>
              <w:left w:val="none" w:color="FFFFFF" w:sz="0"/>
              <w:bottom w:val="single" w:color="D9D2C3" w:sz="4"/>
              <w:right w:val="none" w:color="FFFFFF" w:sz="0"/>
            </w:tcBorders>
            <w:tcMar>
              <w:top w:type="dxa" w:w="80"/>
              <w:left w:type="dxa" w:w="100"/>
              <w:bottom w:type="dxa" w:w="80"/>
              <w:right w:type="dxa" w:w="100"/>
            </w:tcMar>
            <w:vAlign w:val="center"/>
          </w:tcPr>
          <w:p>
            <w:pPr>
              <w:spacing w:after="0" w:before="0" w:line="264"/>
            </w:pPr>
            <w:r>
              <w:rPr>
                <w:rFonts w:ascii="Arial" w:cs="Arial" w:eastAsia="Arial" w:hAnsi="Arial"/>
                <w:b w:val="false"/>
                <w:bCs w:val="false"/>
                <w:color w:val="2B2B2B"/>
                <w:sz w:val="16"/>
                <w:szCs w:val="16"/>
              </w:rPr>
              <w:t xml:space="preserve">—</w:t>
            </w:r>
          </w:p>
        </w:tc>
      </w:tr>
    </w:tbl>
    <w:p>
      <w:pPr>
        <w:spacing w:after="80" w:before="0" w:line="264"/>
      </w:pPr>
      <w:r>
        <w:rPr>
          <w:rFonts w:ascii="Arial" w:cs="Arial" w:eastAsia="Arial" w:hAnsi="Arial"/>
          <w:color w:val="2B2B2B"/>
          <w:sz w:val="4"/>
          <w:szCs w:val="4"/>
        </w:rPr>
        <w:t xml:space="preserve"/>
      </w:r>
    </w:p>
    <w:p>
      <w:pPr>
        <w:keepNext/>
        <w:pBdr>
          <w:bottom w:val="single" w:color="C9D6D3" w:sz="4" w:space="2"/>
        </w:pBdr>
        <w:spacing w:after="60" w:before="180"/>
      </w:pPr>
      <w:r>
        <w:rPr>
          <w:rFonts w:ascii="Arial" w:cs="Arial" w:eastAsia="Arial" w:hAnsi="Arial"/>
          <w:b/>
          <w:bCs/>
          <w:color w:val="13201F"/>
          <w:sz w:val="20"/>
          <w:szCs w:val="20"/>
        </w:rPr>
        <w:t xml:space="preserve">Keynote speaking</w:t>
      </w:r>
    </w:p>
    <w:p>
      <w:pPr>
        <w:tabs>
          <w:tab w:val="left" w:pos="400"/>
        </w:tabs>
        <w:spacing w:after="60" w:line="264"/>
        <w:ind w:left="400" w:hanging="400"/>
      </w:pPr>
      <w:r>
        <w:rPr>
          <w:rFonts w:ascii="Arial" w:cs="Arial" w:eastAsia="Arial" w:hAnsi="Arial"/>
          <w:b/>
          <w:bCs/>
          <w:color w:val="2F6B64"/>
          <w:sz w:val="18"/>
          <w:szCs w:val="18"/>
        </w:rPr>
        <w:t xml:space="preserve">1.</w:t>
      </w:r>
      <w:r>
        <w:t xml:space="preserve">	</w:t>
      </w:r>
      <w:r>
        <w:rPr>
          <w:rFonts w:ascii="Arial" w:cs="Arial" w:eastAsia="Arial" w:hAnsi="Arial"/>
          <w:color w:val="2B2B2B"/>
          <w:sz w:val="18"/>
          <w:szCs w:val="18"/>
        </w:rPr>
        <w:t xml:space="preserve">The fee covers a briefing call, tailoring to the event theme, delivery and Q&amp;A on the day.</w:t>
      </w:r>
    </w:p>
    <w:p>
      <w:pPr>
        <w:tabs>
          <w:tab w:val="left" w:pos="400"/>
        </w:tabs>
        <w:spacing w:after="60" w:line="264"/>
        <w:ind w:left="400" w:hanging="400"/>
      </w:pPr>
      <w:r>
        <w:rPr>
          <w:rFonts w:ascii="Arial" w:cs="Arial" w:eastAsia="Arial" w:hAnsi="Arial"/>
          <w:b/>
          <w:bCs/>
          <w:color w:val="2F6B64"/>
          <w:sz w:val="18"/>
          <w:szCs w:val="18"/>
        </w:rPr>
        <w:t xml:space="preserve">2.</w:t>
      </w:r>
      <w:r>
        <w:t xml:space="preserve">	</w:t>
      </w:r>
      <w:r>
        <w:rPr>
          <w:rFonts w:ascii="Arial" w:cs="Arial" w:eastAsia="Arial" w:hAnsi="Arial"/>
          <w:color w:val="2B2B2B"/>
          <w:sz w:val="18"/>
          <w:szCs w:val="18"/>
        </w:rPr>
        <w:t xml:space="preserve">The Client provides a stage, microphone, projector and clicker, and a technical check before the audience arrives.</w:t>
      </w:r>
    </w:p>
    <w:p>
      <w:pPr>
        <w:tabs>
          <w:tab w:val="left" w:pos="400"/>
        </w:tabs>
        <w:spacing w:after="60" w:line="264"/>
        <w:ind w:left="400" w:hanging="400"/>
      </w:pPr>
      <w:r>
        <w:rPr>
          <w:rFonts w:ascii="Arial" w:cs="Arial" w:eastAsia="Arial" w:hAnsi="Arial"/>
          <w:b/>
          <w:bCs/>
          <w:color w:val="2F6B64"/>
          <w:sz w:val="18"/>
          <w:szCs w:val="18"/>
        </w:rPr>
        <w:t xml:space="preserve">3.</w:t>
      </w:r>
      <w:r>
        <w:t xml:space="preserve">	</w:t>
      </w:r>
      <w:r>
        <w:rPr>
          <w:rFonts w:ascii="Arial" w:cs="Arial" w:eastAsia="Arial" w:hAnsi="Arial"/>
          <w:color w:val="2B2B2B"/>
          <w:sz w:val="18"/>
          <w:szCs w:val="18"/>
        </w:rPr>
        <w:t xml:space="preserve">Virtual keynotes need a tech rehearsal at least 2 working days before.</w:t>
      </w:r>
    </w:p>
    <w:p>
      <w:pPr>
        <w:tabs>
          <w:tab w:val="left" w:pos="400"/>
        </w:tabs>
        <w:spacing w:after="60" w:line="264"/>
        <w:ind w:left="400" w:hanging="400"/>
      </w:pPr>
      <w:r>
        <w:rPr>
          <w:rFonts w:ascii="Arial" w:cs="Arial" w:eastAsia="Arial" w:hAnsi="Arial"/>
          <w:b/>
          <w:bCs/>
          <w:color w:val="2F6B64"/>
          <w:sz w:val="18"/>
          <w:szCs w:val="18"/>
        </w:rPr>
        <w:t xml:space="preserve">4.</w:t>
      </w:r>
      <w:r>
        <w:t xml:space="preserve">	</w:t>
      </w:r>
      <w:r>
        <w:rPr>
          <w:rFonts w:ascii="Arial" w:cs="Arial" w:eastAsia="Arial" w:hAnsi="Arial"/>
          <w:color w:val="2B2B2B"/>
          <w:sz w:val="18"/>
          <w:szCs w:val="18"/>
        </w:rPr>
        <w:t xml:space="preserve">Where a speaker bureau makes the booking, the bureau's contract applies and the bureau handles invoicing.</w:t>
      </w:r>
    </w:p>
    <w:p>
      <w:pPr>
        <w:keepNext/>
        <w:pBdr>
          <w:bottom w:val="single" w:color="C9D6D3" w:sz="4" w:space="2"/>
        </w:pBdr>
        <w:spacing w:after="60" w:before="180"/>
      </w:pPr>
      <w:r>
        <w:rPr>
          <w:rFonts w:ascii="Arial" w:cs="Arial" w:eastAsia="Arial" w:hAnsi="Arial"/>
          <w:b/>
          <w:bCs/>
          <w:color w:val="13201F"/>
          <w:sz w:val="20"/>
          <w:szCs w:val="20"/>
        </w:rPr>
        <w:t xml:space="preserve">Strata</w:t>
      </w:r>
    </w:p>
    <w:p>
      <w:pPr>
        <w:tabs>
          <w:tab w:val="left" w:pos="400"/>
        </w:tabs>
        <w:spacing w:after="60" w:line="264"/>
        <w:ind w:left="400" w:hanging="400"/>
      </w:pPr>
      <w:r>
        <w:rPr>
          <w:rFonts w:ascii="Arial" w:cs="Arial" w:eastAsia="Arial" w:hAnsi="Arial"/>
          <w:b/>
          <w:bCs/>
          <w:color w:val="2F6B64"/>
          <w:sz w:val="18"/>
          <w:szCs w:val="18"/>
        </w:rPr>
        <w:t xml:space="preserve">1.</w:t>
      </w:r>
      <w:r>
        <w:t xml:space="preserve">	</w:t>
      </w:r>
      <w:r>
        <w:rPr>
          <w:rFonts w:ascii="Arial" w:cs="Arial" w:eastAsia="Arial" w:hAnsi="Arial"/>
          <w:color w:val="2B2B2B"/>
          <w:sz w:val="18"/>
          <w:szCs w:val="18"/>
        </w:rPr>
        <w:t xml:space="preserve">Cohorts of 8–12 senior leaders. Fees are per delegate, with a minimum of 8. More than 12 is quoted separately.</w:t>
      </w:r>
    </w:p>
    <w:p>
      <w:pPr>
        <w:tabs>
          <w:tab w:val="left" w:pos="400"/>
        </w:tabs>
        <w:spacing w:after="60" w:line="264"/>
        <w:ind w:left="400" w:hanging="400"/>
      </w:pPr>
      <w:r>
        <w:rPr>
          <w:rFonts w:ascii="Arial" w:cs="Arial" w:eastAsia="Arial" w:hAnsi="Arial"/>
          <w:b/>
          <w:bCs/>
          <w:color w:val="2F6B64"/>
          <w:sz w:val="18"/>
          <w:szCs w:val="18"/>
        </w:rPr>
        <w:t xml:space="preserve">2.</w:t>
      </w:r>
      <w:r>
        <w:t xml:space="preserve">	</w:t>
      </w:r>
      <w:r>
        <w:rPr>
          <w:rFonts w:ascii="Arial" w:cs="Arial" w:eastAsia="Arial" w:hAnsi="Arial"/>
          <w:color w:val="2B2B2B"/>
          <w:sz w:val="18"/>
          <w:szCs w:val="18"/>
        </w:rPr>
        <w:t xml:space="preserve">Strata runs as a single day, or as a programme with a 1:1 for each delegate and a follow-up group session about two weeks later. The Client provides a meeting room and a breakout space, unless New Pangea arranges the venue.</w:t>
      </w:r>
    </w:p>
    <w:p>
      <w:pPr>
        <w:tabs>
          <w:tab w:val="left" w:pos="400"/>
        </w:tabs>
        <w:spacing w:after="60" w:line="264"/>
        <w:ind w:left="400" w:hanging="400"/>
      </w:pPr>
      <w:r>
        <w:rPr>
          <w:rFonts w:ascii="Arial" w:cs="Arial" w:eastAsia="Arial" w:hAnsi="Arial"/>
          <w:b/>
          <w:bCs/>
          <w:color w:val="2F6B64"/>
          <w:sz w:val="18"/>
          <w:szCs w:val="18"/>
        </w:rPr>
        <w:t xml:space="preserve">3.</w:t>
      </w:r>
      <w:r>
        <w:t xml:space="preserve">	</w:t>
      </w:r>
      <w:r>
        <w:rPr>
          <w:rFonts w:ascii="Arial" w:cs="Arial" w:eastAsia="Arial" w:hAnsi="Arial"/>
          <w:color w:val="2B2B2B"/>
          <w:sz w:val="18"/>
          <w:szCs w:val="18"/>
        </w:rPr>
        <w:t xml:space="preserve">The stress exercise, such as cold-water immersion, is optional for each delegate. Delegates complete a short health screen beforehand covering conditions such as heart conditions, high blood pressure, Raynaud’s and pregnancy, and anyone may take an alternative exercise or observe instead.</w:t>
      </w:r>
    </w:p>
    <w:p>
      <w:pPr>
        <w:tabs>
          <w:tab w:val="left" w:pos="400"/>
        </w:tabs>
        <w:spacing w:after="60" w:line="264"/>
        <w:ind w:left="400" w:hanging="400"/>
      </w:pPr>
      <w:r>
        <w:rPr>
          <w:rFonts w:ascii="Arial" w:cs="Arial" w:eastAsia="Arial" w:hAnsi="Arial"/>
          <w:b/>
          <w:bCs/>
          <w:color w:val="2F6B64"/>
          <w:sz w:val="18"/>
          <w:szCs w:val="18"/>
        </w:rPr>
        <w:t xml:space="preserve">4.</w:t>
      </w:r>
      <w:r>
        <w:t xml:space="preserve">	</w:t>
      </w:r>
      <w:r>
        <w:rPr>
          <w:rFonts w:ascii="Arial" w:cs="Arial" w:eastAsia="Arial" w:hAnsi="Arial"/>
          <w:color w:val="2B2B2B"/>
          <w:sz w:val="18"/>
          <w:szCs w:val="18"/>
        </w:rPr>
        <w:t xml:space="preserve">Delegates’ personal decision protocols are theirs to keep. Individual test results are shared with the group only as averages.</w:t>
      </w:r>
    </w:p>
    <w:p>
      <w:pPr>
        <w:keepNext/>
        <w:pBdr>
          <w:bottom w:val="single" w:color="C9D6D3" w:sz="4" w:space="2"/>
        </w:pBdr>
        <w:spacing w:after="60" w:before="180"/>
      </w:pPr>
      <w:r>
        <w:rPr>
          <w:rFonts w:ascii="Arial" w:cs="Arial" w:eastAsia="Arial" w:hAnsi="Arial"/>
          <w:b/>
          <w:bCs/>
          <w:color w:val="13201F"/>
          <w:sz w:val="20"/>
          <w:szCs w:val="20"/>
        </w:rPr>
        <w:t xml:space="preserve">Operation Convergence</w:t>
      </w:r>
    </w:p>
    <w:p>
      <w:pPr>
        <w:tabs>
          <w:tab w:val="left" w:pos="400"/>
        </w:tabs>
        <w:spacing w:after="60" w:line="264"/>
        <w:ind w:left="400" w:hanging="400"/>
      </w:pPr>
      <w:r>
        <w:rPr>
          <w:rFonts w:ascii="Arial" w:cs="Arial" w:eastAsia="Arial" w:hAnsi="Arial"/>
          <w:b/>
          <w:bCs/>
          <w:color w:val="2F6B64"/>
          <w:sz w:val="18"/>
          <w:szCs w:val="18"/>
        </w:rPr>
        <w:t xml:space="preserve">1.</w:t>
      </w:r>
      <w:r>
        <w:t xml:space="preserve">	</w:t>
      </w:r>
      <w:r>
        <w:rPr>
          <w:rFonts w:ascii="Arial" w:cs="Arial" w:eastAsia="Arial" w:hAnsi="Arial"/>
          <w:color w:val="2B2B2B"/>
          <w:sz w:val="18"/>
          <w:szCs w:val="18"/>
        </w:rPr>
        <w:t xml:space="preserve">The first invoice covers scenario design, which starts on booking. That is why more is kept on early cancellation.</w:t>
      </w:r>
    </w:p>
    <w:p>
      <w:pPr>
        <w:tabs>
          <w:tab w:val="left" w:pos="400"/>
        </w:tabs>
        <w:spacing w:after="60" w:line="264"/>
        <w:ind w:left="400" w:hanging="400"/>
      </w:pPr>
      <w:r>
        <w:rPr>
          <w:rFonts w:ascii="Arial" w:cs="Arial" w:eastAsia="Arial" w:hAnsi="Arial"/>
          <w:b/>
          <w:bCs/>
          <w:color w:val="2F6B64"/>
          <w:sz w:val="18"/>
          <w:szCs w:val="18"/>
        </w:rPr>
        <w:t xml:space="preserve">2.</w:t>
      </w:r>
      <w:r>
        <w:t xml:space="preserve">	</w:t>
      </w:r>
      <w:r>
        <w:rPr>
          <w:rFonts w:ascii="Arial" w:cs="Arial" w:eastAsia="Arial" w:hAnsi="Arial"/>
          <w:color w:val="2B2B2B"/>
          <w:sz w:val="18"/>
          <w:szCs w:val="18"/>
        </w:rPr>
        <w:t xml:space="preserve">The Client provides a named contact and the background information needed to build the scenario at least 4 weeks before delivery.</w:t>
      </w:r>
    </w:p>
    <w:p>
      <w:pPr>
        <w:tabs>
          <w:tab w:val="left" w:pos="400"/>
        </w:tabs>
        <w:spacing w:after="60" w:line="264"/>
        <w:ind w:left="400" w:hanging="400"/>
      </w:pPr>
      <w:r>
        <w:rPr>
          <w:rFonts w:ascii="Arial" w:cs="Arial" w:eastAsia="Arial" w:hAnsi="Arial"/>
          <w:b/>
          <w:bCs/>
          <w:color w:val="2F6B64"/>
          <w:sz w:val="18"/>
          <w:szCs w:val="18"/>
        </w:rPr>
        <w:t xml:space="preserve">3.</w:t>
      </w:r>
      <w:r>
        <w:t xml:space="preserve">	</w:t>
      </w:r>
      <w:r>
        <w:rPr>
          <w:rFonts w:ascii="Arial" w:cs="Arial" w:eastAsia="Arial" w:hAnsi="Arial"/>
          <w:color w:val="2B2B2B"/>
          <w:sz w:val="18"/>
          <w:szCs w:val="18"/>
        </w:rPr>
        <w:t xml:space="preserve">The scenario and report are confidential to the Client. New Pangea may reuse the general design but not the Client's details.</w:t>
      </w:r>
    </w:p>
    <w:p>
      <w:pPr>
        <w:tabs>
          <w:tab w:val="left" w:pos="400"/>
        </w:tabs>
        <w:spacing w:after="60" w:line="264"/>
        <w:ind w:left="400" w:hanging="400"/>
      </w:pPr>
      <w:r>
        <w:rPr>
          <w:rFonts w:ascii="Arial" w:cs="Arial" w:eastAsia="Arial" w:hAnsi="Arial"/>
          <w:b/>
          <w:bCs/>
          <w:color w:val="2F6B64"/>
          <w:sz w:val="18"/>
          <w:szCs w:val="18"/>
        </w:rPr>
        <w:t xml:space="preserve">4.</w:t>
      </w:r>
      <w:r>
        <w:t xml:space="preserve">	</w:t>
      </w:r>
      <w:r>
        <w:rPr>
          <w:rFonts w:ascii="Arial" w:cs="Arial" w:eastAsia="Arial" w:hAnsi="Arial"/>
          <w:color w:val="2B2B2B"/>
          <w:sz w:val="18"/>
          <w:szCs w:val="18"/>
        </w:rPr>
        <w:t xml:space="preserve">The written report follows within 10 working days of delivery.</w:t>
      </w:r>
    </w:p>
    <w:p>
      <w:pPr>
        <w:tabs>
          <w:tab w:val="left" w:pos="400"/>
        </w:tabs>
        <w:spacing w:after="60" w:line="264"/>
        <w:ind w:left="400" w:hanging="400"/>
      </w:pPr>
      <w:r>
        <w:rPr>
          <w:rFonts w:ascii="Arial" w:cs="Arial" w:eastAsia="Arial" w:hAnsi="Arial"/>
          <w:b/>
          <w:bCs/>
          <w:color w:val="2F6B64"/>
          <w:sz w:val="18"/>
          <w:szCs w:val="18"/>
        </w:rPr>
        <w:t xml:space="preserve">5.</w:t>
      </w:r>
      <w:r>
        <w:t xml:space="preserve">	</w:t>
      </w:r>
      <w:r>
        <w:rPr>
          <w:rFonts w:ascii="Arial" w:cs="Arial" w:eastAsia="Arial" w:hAnsi="Arial"/>
          <w:color w:val="2B2B2B"/>
          <w:sz w:val="18"/>
          <w:szCs w:val="18"/>
        </w:rPr>
        <w:t xml:space="preserve">An annual review retainer is optional and quoted separately.</w:t>
      </w:r>
    </w:p>
    <w:p>
      <w:pPr>
        <w:keepNext/>
        <w:pBdr>
          <w:bottom w:val="single" w:color="C9D6D3" w:sz="4" w:space="2"/>
        </w:pBdr>
        <w:spacing w:after="60" w:before="180"/>
      </w:pPr>
      <w:r>
        <w:rPr>
          <w:rFonts w:ascii="Arial" w:cs="Arial" w:eastAsia="Arial" w:hAnsi="Arial"/>
          <w:b/>
          <w:bCs/>
          <w:color w:val="13201F"/>
          <w:sz w:val="20"/>
          <w:szCs w:val="20"/>
        </w:rPr>
        <w:t xml:space="preserve">Mantle</w:t>
      </w:r>
    </w:p>
    <w:p>
      <w:pPr>
        <w:tabs>
          <w:tab w:val="left" w:pos="400"/>
        </w:tabs>
        <w:spacing w:after="60" w:line="264"/>
        <w:ind w:left="400" w:hanging="400"/>
      </w:pPr>
      <w:r>
        <w:rPr>
          <w:rFonts w:ascii="Arial" w:cs="Arial" w:eastAsia="Arial" w:hAnsi="Arial"/>
          <w:b/>
          <w:bCs/>
          <w:color w:val="2F6B64"/>
          <w:sz w:val="18"/>
          <w:szCs w:val="18"/>
        </w:rPr>
        <w:t xml:space="preserve">1.</w:t>
      </w:r>
      <w:r>
        <w:t xml:space="preserve">	</w:t>
      </w:r>
      <w:r>
        <w:rPr>
          <w:rFonts w:ascii="Arial" w:cs="Arial" w:eastAsia="Arial" w:hAnsi="Arial"/>
          <w:color w:val="2B2B2B"/>
          <w:sz w:val="18"/>
          <w:szCs w:val="18"/>
        </w:rPr>
        <w:t xml:space="preserve">Fees are per delegate. Minimum cohort size 10.</w:t>
      </w:r>
    </w:p>
    <w:p>
      <w:pPr>
        <w:tabs>
          <w:tab w:val="left" w:pos="400"/>
        </w:tabs>
        <w:spacing w:after="60" w:line="264"/>
        <w:ind w:left="400" w:hanging="400"/>
      </w:pPr>
      <w:r>
        <w:rPr>
          <w:rFonts w:ascii="Arial" w:cs="Arial" w:eastAsia="Arial" w:hAnsi="Arial"/>
          <w:b/>
          <w:bCs/>
          <w:color w:val="2F6B64"/>
          <w:sz w:val="18"/>
          <w:szCs w:val="18"/>
        </w:rPr>
        <w:t xml:space="preserve">2.</w:t>
      </w:r>
      <w:r>
        <w:t xml:space="preserve">	</w:t>
      </w:r>
      <w:r>
        <w:rPr>
          <w:rFonts w:ascii="Arial" w:cs="Arial" w:eastAsia="Arial" w:hAnsi="Arial"/>
          <w:color w:val="2B2B2B"/>
          <w:sz w:val="18"/>
          <w:szCs w:val="18"/>
        </w:rPr>
        <w:t xml:space="preserve">The Client may substitute a delegate up to module 2. After the programme starts, fees are not reduced if a delegate leaves.</w:t>
      </w:r>
    </w:p>
    <w:p>
      <w:pPr>
        <w:tabs>
          <w:tab w:val="left" w:pos="400"/>
        </w:tabs>
        <w:spacing w:after="60" w:line="264"/>
        <w:ind w:left="400" w:hanging="400"/>
      </w:pPr>
      <w:r>
        <w:rPr>
          <w:rFonts w:ascii="Arial" w:cs="Arial" w:eastAsia="Arial" w:hAnsi="Arial"/>
          <w:b/>
          <w:bCs/>
          <w:color w:val="2F6B64"/>
          <w:sz w:val="18"/>
          <w:szCs w:val="18"/>
        </w:rPr>
        <w:t xml:space="preserve">3.</w:t>
      </w:r>
      <w:r>
        <w:t xml:space="preserve">	</w:t>
      </w:r>
      <w:r>
        <w:rPr>
          <w:rFonts w:ascii="Arial" w:cs="Arial" w:eastAsia="Arial" w:hAnsi="Arial"/>
          <w:color w:val="2B2B2B"/>
          <w:sz w:val="18"/>
          <w:szCs w:val="18"/>
        </w:rPr>
        <w:t xml:space="preserve">Each delegate gets individual coaching: 30 minutes at the start and end, 45 minutes mid-programme. Coaching sessions cancelled with less than 48 hours' notice count as delivered.</w:t>
      </w:r>
    </w:p>
    <w:p>
      <w:pPr>
        <w:tabs>
          <w:tab w:val="left" w:pos="400"/>
        </w:tabs>
        <w:spacing w:after="60" w:line="264"/>
        <w:ind w:left="400" w:hanging="400"/>
      </w:pPr>
      <w:r>
        <w:rPr>
          <w:rFonts w:ascii="Arial" w:cs="Arial" w:eastAsia="Arial" w:hAnsi="Arial"/>
          <w:b/>
          <w:bCs/>
          <w:color w:val="2F6B64"/>
          <w:sz w:val="18"/>
          <w:szCs w:val="18"/>
        </w:rPr>
        <w:t xml:space="preserve">4.</w:t>
      </w:r>
      <w:r>
        <w:t xml:space="preserve">	</w:t>
      </w:r>
      <w:r>
        <w:rPr>
          <w:rFonts w:ascii="Arial" w:cs="Arial" w:eastAsia="Arial" w:hAnsi="Arial"/>
          <w:color w:val="2B2B2B"/>
          <w:sz w:val="18"/>
          <w:szCs w:val="18"/>
        </w:rPr>
        <w:t xml:space="preserve">180° feedback is gathered from senior leaders the Client nominates. Individual responses are confidential to the delegate. The end-of-programme report covers the group.</w:t>
      </w:r>
    </w:p>
    <w:p>
      <w:pPr>
        <w:tabs>
          <w:tab w:val="left" w:pos="400"/>
        </w:tabs>
        <w:spacing w:after="60" w:line="264"/>
        <w:ind w:left="400" w:hanging="400"/>
      </w:pPr>
      <w:r>
        <w:rPr>
          <w:rFonts w:ascii="Arial" w:cs="Arial" w:eastAsia="Arial" w:hAnsi="Arial"/>
          <w:b/>
          <w:bCs/>
          <w:color w:val="2F6B64"/>
          <w:sz w:val="18"/>
          <w:szCs w:val="18"/>
        </w:rPr>
        <w:t xml:space="preserve">5.</w:t>
      </w:r>
      <w:r>
        <w:t xml:space="preserve">	</w:t>
      </w:r>
      <w:r>
        <w:rPr>
          <w:rFonts w:ascii="Arial" w:cs="Arial" w:eastAsia="Arial" w:hAnsi="Arial"/>
          <w:color w:val="2B2B2B"/>
          <w:sz w:val="18"/>
          <w:szCs w:val="18"/>
        </w:rPr>
        <w:t xml:space="preserve">A cohort session may be moved once with 30 days' notice.</w:t>
      </w:r>
    </w:p>
    <w:p>
      <w:pPr>
        <w:keepNext/>
        <w:pBdr>
          <w:bottom w:val="single" w:color="C9D6D3" w:sz="4" w:space="2"/>
        </w:pBdr>
        <w:spacing w:after="60" w:before="180"/>
      </w:pPr>
      <w:r>
        <w:rPr>
          <w:rFonts w:ascii="Arial" w:cs="Arial" w:eastAsia="Arial" w:hAnsi="Arial"/>
          <w:b/>
          <w:bCs/>
          <w:color w:val="13201F"/>
          <w:sz w:val="20"/>
          <w:szCs w:val="20"/>
        </w:rPr>
        <w:t xml:space="preserve">Keystone</w:t>
      </w:r>
    </w:p>
    <w:p>
      <w:pPr>
        <w:tabs>
          <w:tab w:val="left" w:pos="400"/>
        </w:tabs>
        <w:spacing w:after="60" w:line="264"/>
        <w:ind w:left="400" w:hanging="400"/>
      </w:pPr>
      <w:r>
        <w:rPr>
          <w:rFonts w:ascii="Arial" w:cs="Arial" w:eastAsia="Arial" w:hAnsi="Arial"/>
          <w:b/>
          <w:bCs/>
          <w:color w:val="2F6B64"/>
          <w:sz w:val="18"/>
          <w:szCs w:val="18"/>
        </w:rPr>
        <w:t xml:space="preserve">1.</w:t>
      </w:r>
      <w:r>
        <w:t xml:space="preserve">	</w:t>
      </w:r>
      <w:r>
        <w:rPr>
          <w:rFonts w:ascii="Arial" w:cs="Arial" w:eastAsia="Arial" w:hAnsi="Arial"/>
          <w:color w:val="2B2B2B"/>
          <w:sz w:val="18"/>
          <w:szCs w:val="18"/>
        </w:rPr>
        <w:t xml:space="preserve">Three 2-hour sessions a month apart, for 25–100 delegates. Session dates are set at booking.</w:t>
      </w:r>
    </w:p>
    <w:p>
      <w:pPr>
        <w:tabs>
          <w:tab w:val="left" w:pos="400"/>
        </w:tabs>
        <w:spacing w:after="60" w:line="264"/>
        <w:ind w:left="400" w:hanging="400"/>
      </w:pPr>
      <w:r>
        <w:rPr>
          <w:rFonts w:ascii="Arial" w:cs="Arial" w:eastAsia="Arial" w:hAnsi="Arial"/>
          <w:b/>
          <w:bCs/>
          <w:color w:val="2F6B64"/>
          <w:sz w:val="18"/>
          <w:szCs w:val="18"/>
        </w:rPr>
        <w:t xml:space="preserve">2.</w:t>
      </w:r>
      <w:r>
        <w:t xml:space="preserve">	</w:t>
      </w:r>
      <w:r>
        <w:rPr>
          <w:rFonts w:ascii="Arial" w:cs="Arial" w:eastAsia="Arial" w:hAnsi="Arial"/>
          <w:color w:val="2B2B2B"/>
          <w:sz w:val="18"/>
          <w:szCs w:val="18"/>
        </w:rPr>
        <w:t xml:space="preserve">The Client provides the room, AV and reliable wifi, because delegates take part live from their phones.</w:t>
      </w:r>
    </w:p>
    <w:p>
      <w:pPr>
        <w:tabs>
          <w:tab w:val="left" w:pos="400"/>
        </w:tabs>
        <w:spacing w:after="60" w:line="264"/>
        <w:ind w:left="400" w:hanging="400"/>
      </w:pPr>
      <w:r>
        <w:rPr>
          <w:rFonts w:ascii="Arial" w:cs="Arial" w:eastAsia="Arial" w:hAnsi="Arial"/>
          <w:b/>
          <w:bCs/>
          <w:color w:val="2F6B64"/>
          <w:sz w:val="18"/>
          <w:szCs w:val="18"/>
        </w:rPr>
        <w:t xml:space="preserve">3.</w:t>
      </w:r>
      <w:r>
        <w:t xml:space="preserve">	</w:t>
      </w:r>
      <w:r>
        <w:rPr>
          <w:rFonts w:ascii="Arial" w:cs="Arial" w:eastAsia="Arial" w:hAnsi="Arial"/>
          <w:color w:val="2B2B2B"/>
          <w:sz w:val="18"/>
          <w:szCs w:val="18"/>
        </w:rPr>
        <w:t xml:space="preserve">Content covers general health habits. It is not individual medical advice, and delegates with health concerns are directed to their GP or occupational health.</w:t>
      </w:r>
    </w:p>
    <w:p>
      <w:pPr>
        <w:tabs>
          <w:tab w:val="left" w:pos="400"/>
        </w:tabs>
        <w:spacing w:after="60" w:line="264"/>
        <w:ind w:left="400" w:hanging="400"/>
      </w:pPr>
      <w:r>
        <w:rPr>
          <w:rFonts w:ascii="Arial" w:cs="Arial" w:eastAsia="Arial" w:hAnsi="Arial"/>
          <w:b/>
          <w:bCs/>
          <w:color w:val="2F6B64"/>
          <w:sz w:val="18"/>
          <w:szCs w:val="18"/>
        </w:rPr>
        <w:t xml:space="preserve">4.</w:t>
      </w:r>
      <w:r>
        <w:t xml:space="preserve">	</w:t>
      </w:r>
      <w:r>
        <w:rPr>
          <w:rFonts w:ascii="Arial" w:cs="Arial" w:eastAsia="Arial" w:hAnsi="Arial"/>
          <w:color w:val="2B2B2B"/>
          <w:sz w:val="18"/>
          <w:szCs w:val="18"/>
        </w:rPr>
        <w:t xml:space="preserve">A single session may be moved once with 30 days' notice.</w:t>
      </w:r>
    </w:p>
    <w:p>
      <w:pPr>
        <w:keepNext/>
        <w:pBdr>
          <w:bottom w:val="single" w:color="C9D6D3" w:sz="4" w:space="2"/>
        </w:pBdr>
        <w:spacing w:after="60" w:before="180"/>
      </w:pPr>
      <w:r>
        <w:rPr>
          <w:rFonts w:ascii="Arial" w:cs="Arial" w:eastAsia="Arial" w:hAnsi="Arial"/>
          <w:b/>
          <w:bCs/>
          <w:color w:val="13201F"/>
          <w:sz w:val="20"/>
          <w:szCs w:val="20"/>
        </w:rPr>
        <w:t xml:space="preserve">Coaching packs</w:t>
      </w:r>
    </w:p>
    <w:p>
      <w:pPr>
        <w:tabs>
          <w:tab w:val="left" w:pos="400"/>
        </w:tabs>
        <w:spacing w:after="60" w:line="264"/>
        <w:ind w:left="400" w:hanging="400"/>
      </w:pPr>
      <w:r>
        <w:rPr>
          <w:rFonts w:ascii="Arial" w:cs="Arial" w:eastAsia="Arial" w:hAnsi="Arial"/>
          <w:b/>
          <w:bCs/>
          <w:color w:val="2F6B64"/>
          <w:sz w:val="18"/>
          <w:szCs w:val="18"/>
        </w:rPr>
        <w:t xml:space="preserve">1.</w:t>
      </w:r>
      <w:r>
        <w:t xml:space="preserve">	</w:t>
      </w:r>
      <w:r>
        <w:rPr>
          <w:rFonts w:ascii="Arial" w:cs="Arial" w:eastAsia="Arial" w:hAnsi="Arial"/>
          <w:color w:val="2B2B2B"/>
          <w:sz w:val="18"/>
          <w:szCs w:val="18"/>
        </w:rPr>
        <w:t xml:space="preserve">Packs of sessions (for example 36 sessions) are paid in advance and valid for 12 months from the first session.</w:t>
      </w:r>
    </w:p>
    <w:p>
      <w:pPr>
        <w:tabs>
          <w:tab w:val="left" w:pos="400"/>
        </w:tabs>
        <w:spacing w:after="60" w:line="264"/>
        <w:ind w:left="400" w:hanging="400"/>
      </w:pPr>
      <w:r>
        <w:rPr>
          <w:rFonts w:ascii="Arial" w:cs="Arial" w:eastAsia="Arial" w:hAnsi="Arial"/>
          <w:b/>
          <w:bCs/>
          <w:color w:val="2F6B64"/>
          <w:sz w:val="18"/>
          <w:szCs w:val="18"/>
        </w:rPr>
        <w:t xml:space="preserve">2.</w:t>
      </w:r>
      <w:r>
        <w:t xml:space="preserve">	</w:t>
      </w:r>
      <w:r>
        <w:rPr>
          <w:rFonts w:ascii="Arial" w:cs="Arial" w:eastAsia="Arial" w:hAnsi="Arial"/>
          <w:color w:val="2B2B2B"/>
          <w:sz w:val="18"/>
          <w:szCs w:val="18"/>
        </w:rPr>
        <w:t xml:space="preserve">Sessions cancelled with less than 48 hours' notice count as delivered.</w:t>
      </w:r>
    </w:p>
    <w:p>
      <w:pPr>
        <w:tabs>
          <w:tab w:val="left" w:pos="400"/>
        </w:tabs>
        <w:spacing w:after="60" w:line="264"/>
        <w:ind w:left="400" w:hanging="400"/>
      </w:pPr>
      <w:r>
        <w:rPr>
          <w:rFonts w:ascii="Arial" w:cs="Arial" w:eastAsia="Arial" w:hAnsi="Arial"/>
          <w:b/>
          <w:bCs/>
          <w:color w:val="2F6B64"/>
          <w:sz w:val="18"/>
          <w:szCs w:val="18"/>
        </w:rPr>
        <w:t xml:space="preserve">3.</w:t>
      </w:r>
      <w:r>
        <w:t xml:space="preserve">	</w:t>
      </w:r>
      <w:r>
        <w:rPr>
          <w:rFonts w:ascii="Arial" w:cs="Arial" w:eastAsia="Arial" w:hAnsi="Arial"/>
          <w:color w:val="2B2B2B"/>
          <w:sz w:val="18"/>
          <w:szCs w:val="18"/>
        </w:rPr>
        <w:t xml:space="preserve">Sessions may be shared across a named group of delegates if agreed at booking.</w:t>
      </w:r>
    </w:p>
    <w:p>
      <w:pPr>
        <w:spacing w:after="200" w:before="0" w:line="264"/>
      </w:pPr>
      <w:r>
        <w:rPr>
          <w:rFonts w:ascii="Arial" w:cs="Arial" w:eastAsia="Arial" w:hAnsi="Arial"/>
          <w:color w:val="2B2B2B"/>
          <w:sz w:val="4"/>
          <w:szCs w:val="4"/>
        </w:rPr>
        <w:t xml:space="preserve"/>
      </w:r>
    </w:p>
    <w:tbl>
      <w:tblPr>
        <w:tblW w:type="dxa" w:w="10466"/>
        <w:tblBorders>
          <w:top w:val="none" w:color="FFFFFF" w:sz="0"/>
          <w:left w:val="none" w:color="FFFFFF" w:sz="0"/>
          <w:bottom w:val="none" w:color="FFFFFF" w:sz="0"/>
          <w:right w:val="none" w:color="FFFFFF" w:sz="0"/>
          <w:insideH w:val="none" w:color="FFFFFF" w:sz="0"/>
          <w:insideV w:val="none" w:color="FFFFFF" w:sz="0"/>
        </w:tblBorders>
      </w:tblPr>
      <w:tblGrid>
        <w:gridCol w:w="10466"/>
      </w:tblGrid>
      <w:tr>
        <w:tc>
          <w:tcPr>
            <w:tcW w:type="dxa" w:w="10466"/>
            <w:tcBorders>
              <w:top w:val="none" w:color="FFFFFF" w:sz="0"/>
              <w:left w:val="single" w:color="B8864B" w:sz="18"/>
              <w:bottom w:val="none" w:color="FFFFFF" w:sz="0"/>
              <w:right w:val="none" w:color="FFFFFF" w:sz="0"/>
            </w:tcBorders>
            <w:shd w:fill="13201F" w:color="auto" w:val="clear"/>
            <w:tcMar>
              <w:top w:type="dxa" w:w="180"/>
              <w:left w:type="dxa" w:w="240"/>
              <w:bottom w:type="dxa" w:w="180"/>
              <w:right w:type="dxa" w:w="160"/>
            </w:tcMar>
            <w:vAlign w:val="center"/>
          </w:tcPr>
          <w:p>
            <w:pPr>
              <w:spacing w:after="30" w:before="0" w:line="264"/>
            </w:pPr>
            <w:r>
              <w:rPr>
                <w:rFonts w:ascii="Arial" w:cs="Arial" w:eastAsia="Arial" w:hAnsi="Arial"/>
                <w:b/>
                <w:bCs/>
                <w:color w:val="FFFFFF"/>
                <w:spacing w:val="20"/>
                <w:sz w:val="24"/>
                <w:szCs w:val="24"/>
              </w:rPr>
              <w:t xml:space="preserve">QUESTIONS ABOUT THESE TERMS</w:t>
            </w:r>
          </w:p>
          <w:p>
            <w:pPr>
              <w:spacing w:after="90" w:before="0" w:line="264"/>
            </w:pPr>
            <w:r>
              <w:rPr>
                <w:rFonts w:ascii="Arial" w:cs="Arial" w:eastAsia="Arial" w:hAnsi="Arial"/>
                <w:i/>
                <w:iCs/>
                <w:color w:val="C9D6D3"/>
                <w:sz w:val="17"/>
                <w:szCs w:val="17"/>
              </w:rPr>
              <w:t xml:space="preserve">Please get in touch before confirming a booking</w:t>
            </w:r>
          </w:p>
          <w:p>
            <w:pPr>
              <w:spacing w:after="0" w:before="0" w:line="264"/>
            </w:pPr>
            <w:r>
              <w:rPr>
                <w:rFonts w:ascii="Arial" w:cs="Arial" w:eastAsia="Arial" w:hAnsi="Arial"/>
                <w:color w:val="FFFFFF"/>
                <w:sz w:val="18"/>
                <w:szCs w:val="18"/>
              </w:rPr>
              <w:t xml:space="preserve">Rob Murray:  </w:t>
            </w:r>
            <w:r>
              <w:rPr>
                <w:rFonts w:ascii="Arial" w:cs="Arial" w:eastAsia="Arial" w:hAnsi="Arial"/>
                <w:b/>
                <w:bCs/>
                <w:color w:val="FFFFFF"/>
                <w:sz w:val="18"/>
                <w:szCs w:val="18"/>
              </w:rPr>
              <w:t xml:space="preserve">robmurray@newpangea.co.uk</w:t>
            </w:r>
            <w:r>
              <w:rPr>
                <w:rFonts w:ascii="Arial" w:cs="Arial" w:eastAsia="Arial" w:hAnsi="Arial"/>
                <w:color w:val="C9D6D3"/>
                <w:sz w:val="18"/>
                <w:szCs w:val="18"/>
              </w:rPr>
              <w:t xml:space="preserve">   │   </w:t>
            </w:r>
            <w:r>
              <w:rPr>
                <w:rFonts w:ascii="Arial" w:cs="Arial" w:eastAsia="Arial" w:hAnsi="Arial"/>
                <w:b/>
                <w:bCs/>
                <w:color w:val="FFFFFF"/>
                <w:sz w:val="18"/>
                <w:szCs w:val="18"/>
              </w:rPr>
              <w:t xml:space="preserve">newpangea.co.uk</w:t>
            </w:r>
          </w:p>
        </w:tc>
      </w:tr>
    </w:tbl>
    <w:sectPr>
      <w:footerReference w:type="default" r:id="rId7"/>
      <w:pgSz w:w="11906" w:h="16838" w:orient="portrait"/>
      <w:pgMar w:top="620" w:right="720" w:bottom="800" w:left="720" w:header="708"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D6D3" w:sz="4" w:space="4"/>
      </w:pBdr>
      <w:jc w:val="center"/>
    </w:pPr>
    <w:r>
      <w:rPr>
        <w:rFonts w:ascii="Arial" w:cs="Arial" w:eastAsia="Arial" w:hAnsi="Arial"/>
        <w:color w:val="5E6B69"/>
        <w:sz w:val="14"/>
        <w:szCs w:val="14"/>
      </w:rPr>
      <w:t xml:space="preserve">New Pangea Ltd  ·  Registered in England &amp; Wales no. 13975525  ·  VAT no. 487798305  ·  Booking Terms v1.0, September 2026  ·  Page </w:t>
    </w:r>
    <w:r>
      <w:rPr>
        <w:rFonts w:ascii="Arial" w:cs="Arial" w:eastAsia="Arial" w:hAnsi="Arial"/>
        <w:color w:val="5E6B69"/>
        <w:sz w:val="14"/>
        <w:szCs w:val="14"/>
      </w:rPr>
      <w:fldChar w:fldCharType="begin"/>
      <w:instrText xml:space="preserve">PAGE</w:instrText>
      <w:fldChar w:fldCharType="separate"/>
      <w:fldChar w:fldCharType="end"/>
    </w:r>
    <w:r>
      <w:rPr>
        <w:rFonts w:ascii="Arial" w:cs="Arial" w:eastAsia="Arial" w:hAnsi="Arial"/>
        <w:color w:val="5E6B69"/>
        <w:sz w:val="14"/>
        <w:szCs w:val="14"/>
      </w:rPr>
      <w:t xml:space="preserve"> of </w:t>
    </w:r>
    <w:r>
      <w:rPr>
        <w:rFonts w:ascii="Arial" w:cs="Arial" w:eastAsia="Arial" w:hAnsi="Arial"/>
        <w:color w:val="5E6B69"/>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3a7e2aab5751d97d4f32836c56ad464684c616d6.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Pangea Booking Terms</dc:title>
  <dc:creator>New Pangea Ltd</dc:creator>
  <cp:lastModifiedBy>Un-named</cp:lastModifiedBy>
  <cp:revision>1</cp:revision>
  <dcterms:created xsi:type="dcterms:W3CDTF">2026-09-27T17:33:15.337Z</dcterms:created>
  <dcterms:modified xsi:type="dcterms:W3CDTF">2026-09-27T17:33:15.345Z</dcterms:modified>
</cp:coreProperties>
</file>

<file path=docProps/custom.xml><?xml version="1.0" encoding="utf-8"?>
<Properties xmlns="http://schemas.openxmlformats.org/officeDocument/2006/custom-properties" xmlns:vt="http://schemas.openxmlformats.org/officeDocument/2006/docPropsVTypes"/>
</file>